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E4" w:rsidRPr="009E7AA4" w:rsidRDefault="003D0DE4">
      <w:pPr>
        <w:rPr>
          <w:b/>
        </w:rPr>
      </w:pPr>
      <w:r w:rsidRPr="009E7AA4">
        <w:rPr>
          <w:b/>
        </w:rPr>
        <w:t>LTMS TF STG 20101</w:t>
      </w:r>
      <w:r>
        <w:rPr>
          <w:b/>
        </w:rPr>
        <w:t xml:space="preserve">202 </w:t>
      </w:r>
      <w:r w:rsidRPr="009E7AA4">
        <w:rPr>
          <w:b/>
        </w:rPr>
        <w:t>Teleconference</w:t>
      </w:r>
    </w:p>
    <w:p w:rsidR="003D0DE4" w:rsidRPr="00650614" w:rsidRDefault="003D0DE4">
      <w:r w:rsidRPr="0075373B">
        <w:rPr>
          <w:b/>
        </w:rPr>
        <w:t>'Rajakumar, Allison'</w:t>
      </w:r>
      <w:r w:rsidRPr="00657B78">
        <w:t xml:space="preserve">; </w:t>
      </w:r>
      <w:r w:rsidRPr="00915FEE">
        <w:rPr>
          <w:b/>
        </w:rPr>
        <w:t>'Jeff Clark'</w:t>
      </w:r>
      <w:r w:rsidRPr="00657B78">
        <w:t xml:space="preserve">; </w:t>
      </w:r>
      <w:r w:rsidRPr="0075373B">
        <w:rPr>
          <w:b/>
        </w:rPr>
        <w:t>'Arthur.T.Andrews</w:t>
      </w:r>
      <w:r w:rsidRPr="00657B78">
        <w:t xml:space="preserve">@ExxonMobil.com'; 'Bob Mason'; 'Dan Worcester (dan.worcester@swri.org)'; </w:t>
      </w:r>
      <w:r w:rsidRPr="0075373B">
        <w:rPr>
          <w:b/>
        </w:rPr>
        <w:t>Chadwick, Martin</w:t>
      </w:r>
      <w:r w:rsidRPr="00657B78">
        <w:t xml:space="preserve">  (Intertek); Martinez, Jo G. (jogm); 'Janet Buckingham'; </w:t>
      </w:r>
      <w:r w:rsidRPr="0075373B">
        <w:rPr>
          <w:b/>
        </w:rPr>
        <w:t>'todd.dvorak</w:t>
      </w:r>
      <w:r w:rsidRPr="00657B78">
        <w:t xml:space="preserve">@aftonchemical.com'; </w:t>
      </w:r>
      <w:r w:rsidRPr="0075373B">
        <w:rPr>
          <w:b/>
        </w:rPr>
        <w:t>'Doyle Boese'</w:t>
      </w:r>
      <w:r w:rsidRPr="00657B78">
        <w:t xml:space="preserve">; 'Scinto, Phil'; </w:t>
      </w:r>
      <w:r w:rsidRPr="0045147D">
        <w:rPr>
          <w:b/>
        </w:rPr>
        <w:t>Jim Rutherford</w:t>
      </w:r>
      <w:r>
        <w:t xml:space="preserve">; </w:t>
      </w:r>
      <w:r>
        <w:rPr>
          <w:b/>
        </w:rPr>
        <w:t>Rich Grundza; Dave Glaenzer</w:t>
      </w:r>
    </w:p>
    <w:p w:rsidR="003D0DE4" w:rsidRDefault="003D0DE4">
      <w:pPr>
        <w:rPr>
          <w:b/>
        </w:rPr>
      </w:pPr>
      <w:r w:rsidRPr="009E7AA4">
        <w:rPr>
          <w:b/>
        </w:rPr>
        <w:t>Review Notes (20101</w:t>
      </w:r>
      <w:r>
        <w:rPr>
          <w:b/>
        </w:rPr>
        <w:t>123</w:t>
      </w:r>
      <w:r w:rsidRPr="009E7AA4">
        <w:rPr>
          <w:b/>
        </w:rPr>
        <w:t>) –</w:t>
      </w:r>
      <w:r>
        <w:rPr>
          <w:b/>
        </w:rPr>
        <w:t xml:space="preserve"> </w:t>
      </w:r>
      <w:r w:rsidRPr="00915FEE">
        <w:rPr>
          <w:color w:val="17365D"/>
        </w:rPr>
        <w:t>correction to meeting time</w:t>
      </w:r>
    </w:p>
    <w:p w:rsidR="003D0DE4" w:rsidRPr="009E7AA4" w:rsidRDefault="003D0DE4">
      <w:pPr>
        <w:rPr>
          <w:b/>
        </w:rPr>
      </w:pPr>
      <w:r w:rsidRPr="009E7AA4">
        <w:rPr>
          <w:b/>
        </w:rPr>
        <w:t xml:space="preserve">Previous action items – </w:t>
      </w:r>
    </w:p>
    <w:p w:rsidR="003D0DE4" w:rsidRPr="00657B78" w:rsidRDefault="003D0DE4" w:rsidP="00657B78">
      <w:pPr>
        <w:numPr>
          <w:ilvl w:val="0"/>
          <w:numId w:val="23"/>
        </w:numPr>
        <w:spacing w:after="0"/>
      </w:pPr>
      <w:r w:rsidRPr="00657B78">
        <w:t>All continue consideration of Ee and EZ. Come to next meeting prepared to resolve.</w:t>
      </w:r>
    </w:p>
    <w:p w:rsidR="003D0DE4" w:rsidRPr="00657B78" w:rsidRDefault="003D0DE4" w:rsidP="00657B78">
      <w:pPr>
        <w:numPr>
          <w:ilvl w:val="0"/>
          <w:numId w:val="23"/>
        </w:numPr>
        <w:spacing w:after="0"/>
      </w:pPr>
      <w:r w:rsidRPr="00657B78">
        <w:t xml:space="preserve">Come to next meeting prepared to discuss introduction of 1010 for IIIG in preparation for Sequence III Surveillance Panel conference call week of December 9 </w:t>
      </w:r>
    </w:p>
    <w:p w:rsidR="003D0DE4" w:rsidRPr="00657B78" w:rsidRDefault="003D0DE4" w:rsidP="00657B78">
      <w:pPr>
        <w:numPr>
          <w:ilvl w:val="0"/>
          <w:numId w:val="23"/>
        </w:numPr>
        <w:spacing w:after="0"/>
      </w:pPr>
      <w:r w:rsidRPr="00657B78">
        <w:t>Jim send note to surveillance panel with proposal and test method excerpts</w:t>
      </w:r>
    </w:p>
    <w:p w:rsidR="003D0DE4" w:rsidRDefault="003D0DE4" w:rsidP="009B1565">
      <w:pPr>
        <w:spacing w:after="0"/>
        <w:rPr>
          <w:b/>
        </w:rPr>
      </w:pPr>
    </w:p>
    <w:p w:rsidR="003D0DE4" w:rsidRPr="009E7AA4" w:rsidRDefault="003D0DE4" w:rsidP="009B1565">
      <w:pPr>
        <w:spacing w:after="0"/>
        <w:rPr>
          <w:b/>
        </w:rPr>
      </w:pPr>
      <w:r w:rsidRPr="009E7AA4">
        <w:rPr>
          <w:b/>
        </w:rPr>
        <w:t xml:space="preserve">Latest draft documents – </w:t>
      </w:r>
    </w:p>
    <w:p w:rsidR="003D0DE4" w:rsidRPr="009E7AA4" w:rsidRDefault="003D0DE4" w:rsidP="009B1565">
      <w:pPr>
        <w:pStyle w:val="ListParagraph"/>
        <w:numPr>
          <w:ilvl w:val="0"/>
          <w:numId w:val="12"/>
        </w:numPr>
        <w:spacing w:after="0"/>
      </w:pPr>
      <w:r w:rsidRPr="009E7AA4">
        <w:t>ltms2ndEditionDraft17.9 (abridged) 20101019.docx</w:t>
      </w:r>
    </w:p>
    <w:p w:rsidR="003D0DE4" w:rsidRPr="009E7AA4" w:rsidRDefault="003D0DE4" w:rsidP="00E12781">
      <w:pPr>
        <w:pStyle w:val="ListParagraph"/>
        <w:numPr>
          <w:ilvl w:val="0"/>
          <w:numId w:val="12"/>
        </w:numPr>
      </w:pPr>
      <w:r w:rsidRPr="009E7AA4">
        <w:t>ltms2ndEditionDraft17.1c 20100722.docx</w:t>
      </w:r>
    </w:p>
    <w:p w:rsidR="003D0DE4" w:rsidRPr="009E7AA4" w:rsidRDefault="003D0DE4" w:rsidP="00E12781">
      <w:pPr>
        <w:rPr>
          <w:b/>
        </w:rPr>
      </w:pPr>
      <w:r w:rsidRPr="009E7AA4">
        <w:rPr>
          <w:b/>
        </w:rPr>
        <w:t xml:space="preserve">HD  – </w:t>
      </w:r>
    </w:p>
    <w:p w:rsidR="003D0DE4" w:rsidRDefault="003D0DE4" w:rsidP="00CF571A">
      <w:pPr>
        <w:pStyle w:val="ListParagraph"/>
        <w:numPr>
          <w:ilvl w:val="0"/>
          <w:numId w:val="10"/>
        </w:numPr>
      </w:pPr>
      <w:r w:rsidRPr="009E7AA4">
        <w:t>~ best ways to calculate E</w:t>
      </w:r>
      <w:r w:rsidRPr="009E7AA4">
        <w:rPr>
          <w:vertAlign w:val="subscript"/>
        </w:rPr>
        <w:t>e</w:t>
      </w:r>
      <w:r w:rsidRPr="009E7AA4">
        <w:t xml:space="preserve"> and E</w:t>
      </w:r>
      <w:r w:rsidRPr="009E7AA4">
        <w:rPr>
          <w:vertAlign w:val="subscript"/>
        </w:rPr>
        <w:t>z</w:t>
      </w:r>
      <w:r w:rsidRPr="009E7AA4">
        <w:t xml:space="preserve"> limits by parameter and test type.</w:t>
      </w:r>
    </w:p>
    <w:p w:rsidR="003D0DE4" w:rsidRDefault="003D0DE4" w:rsidP="00035205">
      <w:pPr>
        <w:ind w:left="360"/>
        <w:rPr>
          <w:color w:val="365F91"/>
        </w:rPr>
      </w:pPr>
      <w:r>
        <w:rPr>
          <w:color w:val="365F91"/>
        </w:rPr>
        <w:t>Some options –</w:t>
      </w:r>
    </w:p>
    <w:p w:rsidR="003D0DE4" w:rsidRDefault="003D0DE4" w:rsidP="005555EB">
      <w:pPr>
        <w:pStyle w:val="ListParagraph"/>
        <w:numPr>
          <w:ilvl w:val="0"/>
          <w:numId w:val="24"/>
        </w:numPr>
        <w:rPr>
          <w:color w:val="365F91"/>
        </w:rPr>
      </w:pPr>
      <w:r>
        <w:rPr>
          <w:color w:val="365F91"/>
        </w:rPr>
        <w:t>Number of criteria</w:t>
      </w:r>
    </w:p>
    <w:p w:rsidR="003D0DE4" w:rsidRDefault="003D0DE4" w:rsidP="005555EB">
      <w:pPr>
        <w:pStyle w:val="ListParagraph"/>
        <w:numPr>
          <w:ilvl w:val="1"/>
          <w:numId w:val="24"/>
        </w:numPr>
        <w:rPr>
          <w:color w:val="365F91"/>
        </w:rPr>
      </w:pPr>
      <w:r>
        <w:rPr>
          <w:color w:val="365F91"/>
        </w:rPr>
        <w:t>No adjustment for number of criteria</w:t>
      </w:r>
    </w:p>
    <w:p w:rsidR="003D0DE4" w:rsidRDefault="003D0DE4" w:rsidP="005555EB">
      <w:pPr>
        <w:pStyle w:val="ListParagraph"/>
        <w:numPr>
          <w:ilvl w:val="1"/>
          <w:numId w:val="24"/>
        </w:numPr>
        <w:rPr>
          <w:color w:val="365F91"/>
        </w:rPr>
      </w:pPr>
      <w:r>
        <w:rPr>
          <w:color w:val="365F91"/>
        </w:rPr>
        <w:t>1, 2, &amp; ≥3</w:t>
      </w:r>
    </w:p>
    <w:p w:rsidR="003D0DE4" w:rsidRDefault="003D0DE4" w:rsidP="005555EB">
      <w:pPr>
        <w:pStyle w:val="ListParagraph"/>
        <w:numPr>
          <w:ilvl w:val="1"/>
          <w:numId w:val="24"/>
        </w:numPr>
        <w:rPr>
          <w:color w:val="365F91"/>
        </w:rPr>
      </w:pPr>
      <w:r>
        <w:rPr>
          <w:color w:val="365F91"/>
        </w:rPr>
        <w:t>Principal components dimensionality</w:t>
      </w:r>
    </w:p>
    <w:p w:rsidR="003D0DE4" w:rsidRDefault="003D0DE4" w:rsidP="005555EB">
      <w:pPr>
        <w:pStyle w:val="ListParagraph"/>
        <w:numPr>
          <w:ilvl w:val="0"/>
          <w:numId w:val="24"/>
        </w:numPr>
        <w:rPr>
          <w:color w:val="365F91"/>
        </w:rPr>
      </w:pPr>
      <w:r>
        <w:rPr>
          <w:color w:val="365F91"/>
        </w:rPr>
        <w:t>Starting points</w:t>
      </w:r>
    </w:p>
    <w:p w:rsidR="003D0DE4" w:rsidRDefault="003D0DE4" w:rsidP="005555EB">
      <w:pPr>
        <w:pStyle w:val="ListParagraph"/>
        <w:numPr>
          <w:ilvl w:val="1"/>
          <w:numId w:val="24"/>
        </w:numPr>
        <w:rPr>
          <w:color w:val="365F91"/>
        </w:rPr>
      </w:pPr>
      <w:r>
        <w:rPr>
          <w:color w:val="365F91"/>
        </w:rPr>
        <w:t>Function of other limits</w:t>
      </w:r>
    </w:p>
    <w:p w:rsidR="003D0DE4" w:rsidRDefault="003D0DE4" w:rsidP="005555EB">
      <w:pPr>
        <w:pStyle w:val="ListParagraph"/>
        <w:numPr>
          <w:ilvl w:val="1"/>
          <w:numId w:val="24"/>
        </w:numPr>
        <w:rPr>
          <w:color w:val="365F91"/>
        </w:rPr>
      </w:pPr>
      <w:r>
        <w:rPr>
          <w:color w:val="365F91"/>
        </w:rPr>
        <w:t>1.05, .66 for dimensionality 2</w:t>
      </w:r>
    </w:p>
    <w:p w:rsidR="003D0DE4" w:rsidRPr="00A170AC" w:rsidRDefault="003D0DE4" w:rsidP="00A170AC">
      <w:pPr>
        <w:ind w:left="360"/>
        <w:rPr>
          <w:color w:val="17365D"/>
        </w:rPr>
      </w:pPr>
      <w:r>
        <w:rPr>
          <w:color w:val="17365D"/>
        </w:rPr>
        <w:t>We had m</w:t>
      </w:r>
      <w:r w:rsidRPr="00A170AC">
        <w:rPr>
          <w:color w:val="17365D"/>
        </w:rPr>
        <w:t xml:space="preserve">uch </w:t>
      </w:r>
      <w:r>
        <w:rPr>
          <w:color w:val="17365D"/>
        </w:rPr>
        <w:t xml:space="preserve">more </w:t>
      </w:r>
      <w:r w:rsidRPr="00A170AC">
        <w:rPr>
          <w:color w:val="17365D"/>
        </w:rPr>
        <w:t xml:space="preserve">discussion and </w:t>
      </w:r>
      <w:r>
        <w:rPr>
          <w:color w:val="17365D"/>
        </w:rPr>
        <w:t xml:space="preserve">with still some </w:t>
      </w:r>
      <w:r w:rsidRPr="00A170AC">
        <w:rPr>
          <w:color w:val="17365D"/>
        </w:rPr>
        <w:t>shifting opinions.</w:t>
      </w:r>
      <w:r>
        <w:rPr>
          <w:color w:val="17365D"/>
        </w:rPr>
        <w:t xml:space="preserve"> We acknowledge that (although enlightening and entertaining) further discussion will probably not bring consensus. Jim will draft something for the guidance document that captures the diversity of opinions.</w:t>
      </w:r>
    </w:p>
    <w:p w:rsidR="003D0DE4" w:rsidRDefault="003D0DE4" w:rsidP="00CF571A">
      <w:pPr>
        <w:pStyle w:val="NoSpacing"/>
        <w:numPr>
          <w:ilvl w:val="0"/>
          <w:numId w:val="10"/>
        </w:numPr>
      </w:pPr>
      <w:r w:rsidRPr="009E7AA4">
        <w:t xml:space="preserve">ISB </w:t>
      </w:r>
      <w:r>
        <w:t>implementation</w:t>
      </w:r>
    </w:p>
    <w:p w:rsidR="003D0DE4" w:rsidRDefault="003D0DE4" w:rsidP="00657B78">
      <w:pPr>
        <w:spacing w:line="240" w:lineRule="auto"/>
        <w:ind w:left="360"/>
        <w:rPr>
          <w:color w:val="365F91"/>
        </w:rPr>
      </w:pPr>
      <w:r>
        <w:rPr>
          <w:color w:val="365F91"/>
        </w:rPr>
        <w:t>Panel plans a face to face meeting early after the New Year to continue discussion</w:t>
      </w:r>
    </w:p>
    <w:p w:rsidR="003D0DE4" w:rsidRPr="00A170AC" w:rsidRDefault="003D0DE4" w:rsidP="00657B78">
      <w:pPr>
        <w:spacing w:line="240" w:lineRule="auto"/>
        <w:ind w:left="360"/>
        <w:rPr>
          <w:color w:val="17365D"/>
        </w:rPr>
      </w:pPr>
      <w:r>
        <w:rPr>
          <w:color w:val="365F91"/>
        </w:rPr>
        <w:t xml:space="preserve">Review ISB PCA dimensionality? </w:t>
      </w:r>
      <w:r w:rsidRPr="00A170AC">
        <w:rPr>
          <w:color w:val="17365D"/>
        </w:rPr>
        <w:t>There being inadequate time and probably inadequate interest, we did not discuss the details of the first PC accounting for 79% variability.</w:t>
      </w:r>
      <w:r>
        <w:rPr>
          <w:color w:val="17365D"/>
        </w:rPr>
        <w:t xml:space="preserve"> Jim will detail this example and at least one higher dimensional example (VG or T12) for examples in the guidance document.</w:t>
      </w:r>
    </w:p>
    <w:p w:rsidR="003D0DE4" w:rsidRPr="009E7AA4" w:rsidRDefault="003D0DE4" w:rsidP="008D19FA">
      <w:pPr>
        <w:pStyle w:val="NoSpacing"/>
        <w:numPr>
          <w:ilvl w:val="0"/>
          <w:numId w:val="10"/>
        </w:numPr>
      </w:pPr>
      <w:r w:rsidRPr="009E7AA4">
        <w:t>T-11 and T-12</w:t>
      </w:r>
    </w:p>
    <w:p w:rsidR="003D0DE4" w:rsidRPr="005555EB" w:rsidRDefault="003D0DE4" w:rsidP="005555EB">
      <w:pPr>
        <w:ind w:left="360"/>
        <w:rPr>
          <w:color w:val="365F91"/>
        </w:rPr>
      </w:pPr>
      <w:r w:rsidRPr="005555EB">
        <w:rPr>
          <w:color w:val="365F91"/>
        </w:rPr>
        <w:t xml:space="preserve">Review </w:t>
      </w:r>
      <w:r>
        <w:rPr>
          <w:color w:val="365F91"/>
        </w:rPr>
        <w:t>current situations</w:t>
      </w:r>
    </w:p>
    <w:p w:rsidR="003D0DE4" w:rsidRDefault="003D0DE4" w:rsidP="00A74F0F">
      <w:pPr>
        <w:spacing w:after="0" w:line="240" w:lineRule="auto"/>
      </w:pPr>
      <w:r w:rsidRPr="009E7AA4">
        <w:rPr>
          <w:b/>
        </w:rPr>
        <w:t xml:space="preserve">IIIG  –  </w:t>
      </w:r>
    </w:p>
    <w:p w:rsidR="003D0DE4" w:rsidRPr="008175F8" w:rsidRDefault="003D0DE4" w:rsidP="008175F8">
      <w:pPr>
        <w:pStyle w:val="ListParagraph"/>
        <w:numPr>
          <w:ilvl w:val="0"/>
          <w:numId w:val="27"/>
        </w:numPr>
        <w:spacing w:after="0" w:line="240" w:lineRule="auto"/>
        <w:rPr>
          <w:color w:val="17365D"/>
        </w:rPr>
      </w:pPr>
      <w:r w:rsidRPr="008175F8">
        <w:rPr>
          <w:color w:val="17365D"/>
        </w:rPr>
        <w:t xml:space="preserve">Face to face </w:t>
      </w:r>
      <w:r>
        <w:rPr>
          <w:color w:val="17365D"/>
        </w:rPr>
        <w:t xml:space="preserve">surveillance panel </w:t>
      </w:r>
      <w:r w:rsidRPr="008175F8">
        <w:rPr>
          <w:color w:val="17365D"/>
        </w:rPr>
        <w:t>meeting to consider Version 2 proposal in San Antonio January 19</w:t>
      </w:r>
    </w:p>
    <w:p w:rsidR="003D0DE4" w:rsidRDefault="003D0DE4" w:rsidP="008175F8">
      <w:pPr>
        <w:pStyle w:val="ListParagraph"/>
        <w:numPr>
          <w:ilvl w:val="0"/>
          <w:numId w:val="27"/>
        </w:numPr>
        <w:spacing w:after="0" w:line="240" w:lineRule="auto"/>
        <w:rPr>
          <w:color w:val="17365D"/>
        </w:rPr>
      </w:pPr>
      <w:r w:rsidRPr="008175F8">
        <w:rPr>
          <w:color w:val="17365D"/>
        </w:rPr>
        <w:t>RO 1010 targets</w:t>
      </w:r>
      <w:r>
        <w:rPr>
          <w:color w:val="17365D"/>
        </w:rPr>
        <w:t xml:space="preserve"> –</w:t>
      </w:r>
    </w:p>
    <w:p w:rsidR="003D0DE4" w:rsidRDefault="003D0DE4" w:rsidP="008175F8">
      <w:pPr>
        <w:pStyle w:val="ListParagraph"/>
        <w:numPr>
          <w:ilvl w:val="1"/>
          <w:numId w:val="27"/>
        </w:numPr>
        <w:spacing w:after="0" w:line="240" w:lineRule="auto"/>
        <w:rPr>
          <w:color w:val="17365D"/>
        </w:rPr>
      </w:pPr>
      <w:r>
        <w:rPr>
          <w:color w:val="17365D"/>
        </w:rPr>
        <w:t>General consensus that Rich Grundza’s analysis was probably about the best that could be done with the data at hand.</w:t>
      </w:r>
    </w:p>
    <w:p w:rsidR="003D0DE4" w:rsidRDefault="003D0DE4" w:rsidP="008175F8">
      <w:pPr>
        <w:pStyle w:val="ListParagraph"/>
        <w:numPr>
          <w:ilvl w:val="1"/>
          <w:numId w:val="27"/>
        </w:numPr>
        <w:spacing w:after="0" w:line="240" w:lineRule="auto"/>
        <w:rPr>
          <w:color w:val="17365D"/>
        </w:rPr>
      </w:pPr>
      <w:r>
        <w:rPr>
          <w:color w:val="17365D"/>
        </w:rPr>
        <w:t>We had several concerns about the data. There is high variability for viscosity increase that could be related to variability in oil consumption. The way these tests were run could bias both the targets and the standard deviations.</w:t>
      </w:r>
    </w:p>
    <w:p w:rsidR="003D0DE4" w:rsidRDefault="003D0DE4" w:rsidP="008175F8">
      <w:pPr>
        <w:pStyle w:val="ListParagraph"/>
        <w:numPr>
          <w:ilvl w:val="1"/>
          <w:numId w:val="27"/>
        </w:numPr>
        <w:spacing w:after="0" w:line="240" w:lineRule="auto"/>
        <w:rPr>
          <w:color w:val="17365D"/>
        </w:rPr>
      </w:pPr>
      <w:r>
        <w:rPr>
          <w:color w:val="17365D"/>
        </w:rPr>
        <w:t>Although we don’t recommend incorporating data from RO 1010 into the severity adjustment standard deviations today, standard deviations should be reviewed soon.</w:t>
      </w:r>
    </w:p>
    <w:p w:rsidR="003D0DE4" w:rsidRPr="008175F8" w:rsidRDefault="003D0DE4" w:rsidP="008175F8">
      <w:pPr>
        <w:pStyle w:val="ListParagraph"/>
        <w:numPr>
          <w:ilvl w:val="1"/>
          <w:numId w:val="27"/>
        </w:numPr>
        <w:spacing w:after="0" w:line="240" w:lineRule="auto"/>
        <w:rPr>
          <w:color w:val="17365D"/>
        </w:rPr>
      </w:pPr>
      <w:r>
        <w:rPr>
          <w:color w:val="17365D"/>
        </w:rPr>
        <w:t xml:space="preserve">Doyle will do a pretend analysis to see if targets for existing reference oils were created in the same way as Rich did for 1010 whether they would come close to current targets. He will send directly to Dave with a copy to LTMS TF STG. </w:t>
      </w:r>
    </w:p>
    <w:p w:rsidR="003D0DE4" w:rsidRPr="009E7AA4" w:rsidRDefault="003D0DE4" w:rsidP="00A74F0F">
      <w:pPr>
        <w:spacing w:after="0" w:line="240" w:lineRule="auto"/>
      </w:pPr>
    </w:p>
    <w:p w:rsidR="003D0DE4" w:rsidRPr="00FB0703" w:rsidRDefault="003D0DE4" w:rsidP="00FB0703">
      <w:pPr>
        <w:rPr>
          <w:b/>
        </w:rPr>
      </w:pPr>
      <w:r w:rsidRPr="009E7AA4">
        <w:rPr>
          <w:b/>
        </w:rPr>
        <w:t>VID  –</w:t>
      </w:r>
      <w:r w:rsidRPr="00FB0703">
        <w:rPr>
          <w:color w:val="17365D"/>
        </w:rPr>
        <w:t xml:space="preserve"> Face to face </w:t>
      </w:r>
      <w:r>
        <w:rPr>
          <w:color w:val="17365D"/>
        </w:rPr>
        <w:t xml:space="preserve">surveillance panel </w:t>
      </w:r>
      <w:r w:rsidRPr="00FB0703">
        <w:rPr>
          <w:color w:val="17365D"/>
        </w:rPr>
        <w:t>meeting to consider Version 2 proposal in San Antonio January 1</w:t>
      </w:r>
      <w:r>
        <w:rPr>
          <w:color w:val="17365D"/>
        </w:rPr>
        <w:t>8</w:t>
      </w:r>
    </w:p>
    <w:p w:rsidR="003D0DE4" w:rsidRPr="00FB0703" w:rsidRDefault="003D0DE4" w:rsidP="00A74F0F">
      <w:pPr>
        <w:spacing w:after="0" w:line="240" w:lineRule="auto"/>
        <w:rPr>
          <w:color w:val="17365D"/>
        </w:rPr>
      </w:pPr>
      <w:r w:rsidRPr="009E7AA4">
        <w:rPr>
          <w:b/>
        </w:rPr>
        <w:t xml:space="preserve">Next? </w:t>
      </w:r>
      <w:r>
        <w:rPr>
          <w:b/>
        </w:rPr>
        <w:t xml:space="preserve"> </w:t>
      </w:r>
      <w:r w:rsidRPr="00FB0703">
        <w:rPr>
          <w:color w:val="17365D"/>
        </w:rPr>
        <w:t xml:space="preserve">We will have our next web conference January 6 at 10:30 AM eastern. We will consider whether we need to do anything additional for the </w:t>
      </w:r>
      <w:r>
        <w:rPr>
          <w:color w:val="17365D"/>
        </w:rPr>
        <w:t xml:space="preserve">surveillance panel </w:t>
      </w:r>
      <w:r w:rsidRPr="00FB0703">
        <w:rPr>
          <w:color w:val="17365D"/>
        </w:rPr>
        <w:t>proposal meetings.</w:t>
      </w:r>
    </w:p>
    <w:p w:rsidR="003D0DE4" w:rsidRDefault="003D0DE4" w:rsidP="009B1565">
      <w:pPr>
        <w:spacing w:after="0" w:line="240" w:lineRule="auto"/>
        <w:rPr>
          <w:b/>
        </w:rPr>
      </w:pPr>
    </w:p>
    <w:p w:rsidR="003D0DE4" w:rsidRDefault="003D0DE4" w:rsidP="00035205">
      <w:pPr>
        <w:spacing w:after="0" w:line="240" w:lineRule="auto"/>
        <w:rPr>
          <w:b/>
        </w:rPr>
      </w:pPr>
      <w:r w:rsidRPr="00035205">
        <w:rPr>
          <w:b/>
        </w:rPr>
        <w:t xml:space="preserve">Action items: </w:t>
      </w:r>
    </w:p>
    <w:p w:rsidR="003D0DE4" w:rsidRPr="00FB0703" w:rsidRDefault="003D0DE4" w:rsidP="00FB0703">
      <w:pPr>
        <w:pStyle w:val="ListParagraph"/>
        <w:numPr>
          <w:ilvl w:val="0"/>
          <w:numId w:val="26"/>
        </w:numPr>
        <w:rPr>
          <w:color w:val="17365D"/>
        </w:rPr>
      </w:pPr>
      <w:r w:rsidRPr="00FB0703">
        <w:rPr>
          <w:color w:val="17365D"/>
        </w:rPr>
        <w:t>Jim will draft something for the guidance document that captures the diversity of opinions.</w:t>
      </w:r>
    </w:p>
    <w:p w:rsidR="003D0DE4" w:rsidRDefault="003D0DE4" w:rsidP="00A170AC">
      <w:pPr>
        <w:pStyle w:val="ListParagraph"/>
        <w:numPr>
          <w:ilvl w:val="0"/>
          <w:numId w:val="26"/>
        </w:numPr>
        <w:rPr>
          <w:color w:val="17365D"/>
        </w:rPr>
      </w:pPr>
      <w:r>
        <w:rPr>
          <w:color w:val="17365D"/>
        </w:rPr>
        <w:t>Jim will detail this example and at least one higher dimensional example (VG or T12) for examples in the guidance document.</w:t>
      </w:r>
    </w:p>
    <w:p w:rsidR="003D0DE4" w:rsidRPr="008175F8" w:rsidRDefault="003D0DE4" w:rsidP="00FB0703">
      <w:pPr>
        <w:pStyle w:val="ListParagraph"/>
        <w:numPr>
          <w:ilvl w:val="0"/>
          <w:numId w:val="26"/>
        </w:numPr>
        <w:spacing w:after="0" w:line="240" w:lineRule="auto"/>
        <w:rPr>
          <w:color w:val="17365D"/>
        </w:rPr>
      </w:pPr>
      <w:r>
        <w:rPr>
          <w:color w:val="17365D"/>
        </w:rPr>
        <w:t xml:space="preserve">Doyle will send an analysis of IIIG reference oil targets directly to Dave Glaenzer with a copy to LTMS TF STG. </w:t>
      </w:r>
    </w:p>
    <w:sectPr w:rsidR="003D0DE4" w:rsidRPr="008175F8" w:rsidSect="0048029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2A9"/>
    <w:multiLevelType w:val="hybridMultilevel"/>
    <w:tmpl w:val="BC162B68"/>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1">
    <w:nsid w:val="178171DB"/>
    <w:multiLevelType w:val="hybridMultilevel"/>
    <w:tmpl w:val="4FD2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476F4"/>
    <w:multiLevelType w:val="hybridMultilevel"/>
    <w:tmpl w:val="72ACB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9636DF"/>
    <w:multiLevelType w:val="hybridMultilevel"/>
    <w:tmpl w:val="6F5C9D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62235"/>
    <w:multiLevelType w:val="hybridMultilevel"/>
    <w:tmpl w:val="11461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A1057"/>
    <w:multiLevelType w:val="hybridMultilevel"/>
    <w:tmpl w:val="F4C85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46F3CA1"/>
    <w:multiLevelType w:val="hybridMultilevel"/>
    <w:tmpl w:val="533A691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3859672C"/>
    <w:multiLevelType w:val="hybridMultilevel"/>
    <w:tmpl w:val="D8CA4E34"/>
    <w:lvl w:ilvl="0" w:tplc="107EFCC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B14608"/>
    <w:multiLevelType w:val="hybridMultilevel"/>
    <w:tmpl w:val="E172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BD256B"/>
    <w:multiLevelType w:val="hybridMultilevel"/>
    <w:tmpl w:val="FAE8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86495"/>
    <w:multiLevelType w:val="hybridMultilevel"/>
    <w:tmpl w:val="FEC2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4151A"/>
    <w:multiLevelType w:val="hybridMultilevel"/>
    <w:tmpl w:val="8BC0A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0B6A02"/>
    <w:multiLevelType w:val="hybridMultilevel"/>
    <w:tmpl w:val="5DDC49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27644"/>
    <w:multiLevelType w:val="hybridMultilevel"/>
    <w:tmpl w:val="E62EFAE6"/>
    <w:lvl w:ilvl="0" w:tplc="107EFCC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23E90"/>
    <w:multiLevelType w:val="hybridMultilevel"/>
    <w:tmpl w:val="CFC8E1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F2E4D80"/>
    <w:multiLevelType w:val="hybridMultilevel"/>
    <w:tmpl w:val="C73CD9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204ABA"/>
    <w:multiLevelType w:val="hybridMultilevel"/>
    <w:tmpl w:val="1D324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EF5266"/>
    <w:multiLevelType w:val="hybridMultilevel"/>
    <w:tmpl w:val="D24E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062FB1"/>
    <w:multiLevelType w:val="hybridMultilevel"/>
    <w:tmpl w:val="92FC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6D231B"/>
    <w:multiLevelType w:val="hybridMultilevel"/>
    <w:tmpl w:val="589A64B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BE08CD"/>
    <w:multiLevelType w:val="hybridMultilevel"/>
    <w:tmpl w:val="C222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CB6FF5"/>
    <w:multiLevelType w:val="hybridMultilevel"/>
    <w:tmpl w:val="BA5E39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C72F7B"/>
    <w:multiLevelType w:val="hybridMultilevel"/>
    <w:tmpl w:val="569A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E31D8"/>
    <w:multiLevelType w:val="hybridMultilevel"/>
    <w:tmpl w:val="BF2C8B96"/>
    <w:lvl w:ilvl="0" w:tplc="04090005">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8C3441"/>
    <w:multiLevelType w:val="hybridMultilevel"/>
    <w:tmpl w:val="C97E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F924CA"/>
    <w:multiLevelType w:val="hybridMultilevel"/>
    <w:tmpl w:val="11EE2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0"/>
  </w:num>
  <w:num w:numId="4">
    <w:abstractNumId w:val="16"/>
  </w:num>
  <w:num w:numId="5">
    <w:abstractNumId w:val="5"/>
  </w:num>
  <w:num w:numId="6">
    <w:abstractNumId w:val="7"/>
  </w:num>
  <w:num w:numId="7">
    <w:abstractNumId w:val="13"/>
  </w:num>
  <w:num w:numId="8">
    <w:abstractNumId w:val="2"/>
  </w:num>
  <w:num w:numId="9">
    <w:abstractNumId w:val="0"/>
  </w:num>
  <w:num w:numId="10">
    <w:abstractNumId w:val="19"/>
  </w:num>
  <w:num w:numId="11">
    <w:abstractNumId w:val="4"/>
  </w:num>
  <w:num w:numId="12">
    <w:abstractNumId w:val="11"/>
  </w:num>
  <w:num w:numId="13">
    <w:abstractNumId w:val="9"/>
  </w:num>
  <w:num w:numId="14">
    <w:abstractNumId w:val="23"/>
  </w:num>
  <w:num w:numId="15">
    <w:abstractNumId w:val="18"/>
  </w:num>
  <w:num w:numId="16">
    <w:abstractNumId w:val="3"/>
  </w:num>
  <w:num w:numId="17">
    <w:abstractNumId w:val="12"/>
  </w:num>
  <w:num w:numId="18">
    <w:abstractNumId w:val="20"/>
  </w:num>
  <w:num w:numId="19">
    <w:abstractNumId w:val="2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8"/>
  </w:num>
  <w:num w:numId="24">
    <w:abstractNumId w:val="15"/>
  </w:num>
  <w:num w:numId="25">
    <w:abstractNumId w:val="24"/>
  </w:num>
  <w:num w:numId="26">
    <w:abstractNumId w:val="2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190"/>
    <w:rsid w:val="00025FFF"/>
    <w:rsid w:val="00035205"/>
    <w:rsid w:val="00064931"/>
    <w:rsid w:val="000B4D23"/>
    <w:rsid w:val="000C121D"/>
    <w:rsid w:val="000E45E6"/>
    <w:rsid w:val="000F52D8"/>
    <w:rsid w:val="000F5EED"/>
    <w:rsid w:val="00124553"/>
    <w:rsid w:val="00135720"/>
    <w:rsid w:val="00152245"/>
    <w:rsid w:val="00163696"/>
    <w:rsid w:val="00192E83"/>
    <w:rsid w:val="001C1AD5"/>
    <w:rsid w:val="001C4F1F"/>
    <w:rsid w:val="001D4128"/>
    <w:rsid w:val="001F03BA"/>
    <w:rsid w:val="001F30A2"/>
    <w:rsid w:val="00212169"/>
    <w:rsid w:val="00213E00"/>
    <w:rsid w:val="002323FC"/>
    <w:rsid w:val="00232B8B"/>
    <w:rsid w:val="002555B6"/>
    <w:rsid w:val="00255DE3"/>
    <w:rsid w:val="0028003B"/>
    <w:rsid w:val="0029171C"/>
    <w:rsid w:val="00324CAD"/>
    <w:rsid w:val="003673CF"/>
    <w:rsid w:val="003962A8"/>
    <w:rsid w:val="003A1EEF"/>
    <w:rsid w:val="003A2FA0"/>
    <w:rsid w:val="003D0DE4"/>
    <w:rsid w:val="003D2512"/>
    <w:rsid w:val="00433BB3"/>
    <w:rsid w:val="00444E51"/>
    <w:rsid w:val="0044504B"/>
    <w:rsid w:val="0045147D"/>
    <w:rsid w:val="00463BDD"/>
    <w:rsid w:val="00465004"/>
    <w:rsid w:val="00480298"/>
    <w:rsid w:val="004C1494"/>
    <w:rsid w:val="004C2E01"/>
    <w:rsid w:val="004E3688"/>
    <w:rsid w:val="0051111C"/>
    <w:rsid w:val="00517F18"/>
    <w:rsid w:val="00524D49"/>
    <w:rsid w:val="00534898"/>
    <w:rsid w:val="005372D1"/>
    <w:rsid w:val="005555EB"/>
    <w:rsid w:val="00560EF8"/>
    <w:rsid w:val="005848E6"/>
    <w:rsid w:val="005A0582"/>
    <w:rsid w:val="005C6660"/>
    <w:rsid w:val="005C738E"/>
    <w:rsid w:val="005E1FDB"/>
    <w:rsid w:val="005F5796"/>
    <w:rsid w:val="00613D7A"/>
    <w:rsid w:val="00621A85"/>
    <w:rsid w:val="006253EA"/>
    <w:rsid w:val="00632BC8"/>
    <w:rsid w:val="00640065"/>
    <w:rsid w:val="00650614"/>
    <w:rsid w:val="00657B78"/>
    <w:rsid w:val="00671D63"/>
    <w:rsid w:val="006822A3"/>
    <w:rsid w:val="006C6E36"/>
    <w:rsid w:val="006D6D4B"/>
    <w:rsid w:val="006E4715"/>
    <w:rsid w:val="006F6DB1"/>
    <w:rsid w:val="00704342"/>
    <w:rsid w:val="00705356"/>
    <w:rsid w:val="00714884"/>
    <w:rsid w:val="0074260F"/>
    <w:rsid w:val="00743CC2"/>
    <w:rsid w:val="00745619"/>
    <w:rsid w:val="007457BF"/>
    <w:rsid w:val="007502C8"/>
    <w:rsid w:val="0075373B"/>
    <w:rsid w:val="007864B0"/>
    <w:rsid w:val="007A1A8C"/>
    <w:rsid w:val="007A66BC"/>
    <w:rsid w:val="007B1850"/>
    <w:rsid w:val="007C7FE9"/>
    <w:rsid w:val="007F698F"/>
    <w:rsid w:val="00801CD2"/>
    <w:rsid w:val="00805F95"/>
    <w:rsid w:val="008175F8"/>
    <w:rsid w:val="00822C26"/>
    <w:rsid w:val="008270A3"/>
    <w:rsid w:val="00864AF8"/>
    <w:rsid w:val="008D19FA"/>
    <w:rsid w:val="008D6118"/>
    <w:rsid w:val="008E405E"/>
    <w:rsid w:val="009044B8"/>
    <w:rsid w:val="00914190"/>
    <w:rsid w:val="00915FEE"/>
    <w:rsid w:val="009554A9"/>
    <w:rsid w:val="00992159"/>
    <w:rsid w:val="009A65B1"/>
    <w:rsid w:val="009B1565"/>
    <w:rsid w:val="009B7E3A"/>
    <w:rsid w:val="009D3BCF"/>
    <w:rsid w:val="009D53C9"/>
    <w:rsid w:val="009E7AA4"/>
    <w:rsid w:val="009F6D11"/>
    <w:rsid w:val="00A07EDC"/>
    <w:rsid w:val="00A170AC"/>
    <w:rsid w:val="00A20D1E"/>
    <w:rsid w:val="00A53912"/>
    <w:rsid w:val="00A74F0F"/>
    <w:rsid w:val="00A86C56"/>
    <w:rsid w:val="00AA7018"/>
    <w:rsid w:val="00B030F9"/>
    <w:rsid w:val="00B2396B"/>
    <w:rsid w:val="00B46173"/>
    <w:rsid w:val="00B72191"/>
    <w:rsid w:val="00B90E12"/>
    <w:rsid w:val="00B91644"/>
    <w:rsid w:val="00BA6619"/>
    <w:rsid w:val="00BB022C"/>
    <w:rsid w:val="00BB3A55"/>
    <w:rsid w:val="00BB6E34"/>
    <w:rsid w:val="00BC5783"/>
    <w:rsid w:val="00BD12DF"/>
    <w:rsid w:val="00BD198B"/>
    <w:rsid w:val="00C21985"/>
    <w:rsid w:val="00C830CC"/>
    <w:rsid w:val="00C85B57"/>
    <w:rsid w:val="00CB3A12"/>
    <w:rsid w:val="00CE64E8"/>
    <w:rsid w:val="00CF1452"/>
    <w:rsid w:val="00CF571A"/>
    <w:rsid w:val="00CF7F1E"/>
    <w:rsid w:val="00D053CF"/>
    <w:rsid w:val="00D46FA4"/>
    <w:rsid w:val="00D51B5B"/>
    <w:rsid w:val="00D67ECF"/>
    <w:rsid w:val="00D86ACD"/>
    <w:rsid w:val="00DA381B"/>
    <w:rsid w:val="00DB2B83"/>
    <w:rsid w:val="00DE4B4D"/>
    <w:rsid w:val="00E02837"/>
    <w:rsid w:val="00E0542E"/>
    <w:rsid w:val="00E06DD1"/>
    <w:rsid w:val="00E12781"/>
    <w:rsid w:val="00E1301A"/>
    <w:rsid w:val="00E4246A"/>
    <w:rsid w:val="00E76307"/>
    <w:rsid w:val="00E76592"/>
    <w:rsid w:val="00EE1E9F"/>
    <w:rsid w:val="00F274D0"/>
    <w:rsid w:val="00F50C15"/>
    <w:rsid w:val="00F701C7"/>
    <w:rsid w:val="00F83436"/>
    <w:rsid w:val="00F85919"/>
    <w:rsid w:val="00F95618"/>
    <w:rsid w:val="00FA00C4"/>
    <w:rsid w:val="00FB0703"/>
    <w:rsid w:val="00FC6F53"/>
    <w:rsid w:val="00FD28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0A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4190"/>
    <w:pPr>
      <w:ind w:left="720"/>
      <w:contextualSpacing/>
    </w:pPr>
  </w:style>
  <w:style w:type="paragraph" w:styleId="NoSpacing">
    <w:name w:val="No Spacing"/>
    <w:uiPriority w:val="99"/>
    <w:qFormat/>
    <w:rsid w:val="00B90E12"/>
  </w:style>
</w:styles>
</file>

<file path=word/webSettings.xml><?xml version="1.0" encoding="utf-8"?>
<w:webSettings xmlns:r="http://schemas.openxmlformats.org/officeDocument/2006/relationships" xmlns:w="http://schemas.openxmlformats.org/wordprocessingml/2006/main">
  <w:divs>
    <w:div w:id="1895382478">
      <w:marLeft w:val="0"/>
      <w:marRight w:val="0"/>
      <w:marTop w:val="0"/>
      <w:marBottom w:val="0"/>
      <w:divBdr>
        <w:top w:val="none" w:sz="0" w:space="0" w:color="auto"/>
        <w:left w:val="none" w:sz="0" w:space="0" w:color="auto"/>
        <w:bottom w:val="none" w:sz="0" w:space="0" w:color="auto"/>
        <w:right w:val="none" w:sz="0" w:space="0" w:color="auto"/>
      </w:divBdr>
    </w:div>
    <w:div w:id="1895382479">
      <w:marLeft w:val="0"/>
      <w:marRight w:val="0"/>
      <w:marTop w:val="0"/>
      <w:marBottom w:val="0"/>
      <w:divBdr>
        <w:top w:val="none" w:sz="0" w:space="0" w:color="auto"/>
        <w:left w:val="none" w:sz="0" w:space="0" w:color="auto"/>
        <w:bottom w:val="none" w:sz="0" w:space="0" w:color="auto"/>
        <w:right w:val="none" w:sz="0" w:space="0" w:color="auto"/>
      </w:divBdr>
    </w:div>
    <w:div w:id="1895382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497</Words>
  <Characters>2838</Characters>
  <Application>Microsoft Office Outlook</Application>
  <DocSecurity>0</DocSecurity>
  <Lines>0</Lines>
  <Paragraphs>0</Paragraphs>
  <ScaleCrop>false</ScaleCrop>
  <Company>Chevron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TF STG 20101202 Teleconference</dc:title>
  <dc:subject/>
  <dc:creator>Jim Rutherford</dc:creator>
  <cp:keywords/>
  <dc:description/>
  <cp:lastModifiedBy>jac</cp:lastModifiedBy>
  <cp:revision>2</cp:revision>
  <cp:lastPrinted>2010-07-08T15:52:00Z</cp:lastPrinted>
  <dcterms:created xsi:type="dcterms:W3CDTF">2010-12-03T14:28:00Z</dcterms:created>
  <dcterms:modified xsi:type="dcterms:W3CDTF">2010-12-03T14:28:00Z</dcterms:modified>
</cp:coreProperties>
</file>