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18" w:rsidRPr="001C67CB" w:rsidRDefault="00C57E18" w:rsidP="003D53B9">
      <w:pPr>
        <w:spacing w:after="0" w:line="240" w:lineRule="auto"/>
        <w:jc w:val="right"/>
        <w:rPr>
          <w:rFonts w:cstheme="minorHAnsi"/>
        </w:rPr>
      </w:pPr>
      <w:r w:rsidRPr="001C67CB">
        <w:rPr>
          <w:rFonts w:cstheme="minorHAnsi"/>
        </w:rPr>
        <w:t>Caterpillar Surveillance Panel</w:t>
      </w:r>
    </w:p>
    <w:p w:rsidR="00C57E18" w:rsidRPr="001C67CB" w:rsidRDefault="00C57E18" w:rsidP="003D53B9">
      <w:pPr>
        <w:spacing w:after="0" w:line="240" w:lineRule="auto"/>
        <w:jc w:val="right"/>
        <w:rPr>
          <w:rFonts w:cstheme="minorHAnsi"/>
        </w:rPr>
      </w:pPr>
      <w:r w:rsidRPr="001C67CB">
        <w:rPr>
          <w:rFonts w:cstheme="minorHAnsi"/>
        </w:rPr>
        <w:t>C</w:t>
      </w:r>
      <w:r w:rsidR="001466F6" w:rsidRPr="001C67CB">
        <w:rPr>
          <w:rFonts w:cstheme="minorHAnsi"/>
        </w:rPr>
        <w:t xml:space="preserve">at </w:t>
      </w:r>
      <w:r w:rsidRPr="001C67CB">
        <w:rPr>
          <w:rFonts w:cstheme="minorHAnsi"/>
        </w:rPr>
        <w:t>O</w:t>
      </w:r>
      <w:r w:rsidR="001466F6" w:rsidRPr="001C67CB">
        <w:rPr>
          <w:rFonts w:cstheme="minorHAnsi"/>
        </w:rPr>
        <w:t xml:space="preserve">il </w:t>
      </w:r>
      <w:r w:rsidRPr="001C67CB">
        <w:rPr>
          <w:rFonts w:cstheme="minorHAnsi"/>
        </w:rPr>
        <w:t>A</w:t>
      </w:r>
      <w:r w:rsidR="001466F6" w:rsidRPr="001C67CB">
        <w:rPr>
          <w:rFonts w:cstheme="minorHAnsi"/>
        </w:rPr>
        <w:t xml:space="preserve">eration </w:t>
      </w:r>
      <w:r w:rsidRPr="001C67CB">
        <w:rPr>
          <w:rFonts w:cstheme="minorHAnsi"/>
        </w:rPr>
        <w:t>Test</w:t>
      </w:r>
    </w:p>
    <w:p w:rsidR="003D53B9" w:rsidRPr="001C67CB" w:rsidRDefault="00D15DA0" w:rsidP="003D53B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January 15, 2020</w:t>
      </w:r>
    </w:p>
    <w:p w:rsidR="00B16EB3" w:rsidRPr="001C67CB" w:rsidRDefault="00B16EB3" w:rsidP="003D53B9">
      <w:pPr>
        <w:spacing w:after="0" w:line="240" w:lineRule="auto"/>
        <w:rPr>
          <w:rFonts w:cstheme="minorHAnsi"/>
          <w:b/>
          <w:sz w:val="24"/>
        </w:rPr>
      </w:pPr>
      <w:r w:rsidRPr="001C67CB">
        <w:rPr>
          <w:rFonts w:cstheme="minorHAnsi"/>
          <w:b/>
          <w:sz w:val="24"/>
        </w:rPr>
        <w:t>American Petroleum</w:t>
      </w:r>
      <w:r w:rsidR="00C57E18" w:rsidRPr="001C67CB">
        <w:rPr>
          <w:rFonts w:cstheme="minorHAnsi"/>
          <w:b/>
          <w:sz w:val="24"/>
        </w:rPr>
        <w:t xml:space="preserve"> Institute</w:t>
      </w:r>
      <w:r w:rsidRPr="001C67CB">
        <w:rPr>
          <w:rFonts w:cstheme="minorHAnsi"/>
          <w:b/>
          <w:sz w:val="24"/>
        </w:rPr>
        <w:t xml:space="preserve"> </w:t>
      </w:r>
    </w:p>
    <w:p w:rsidR="003D53B9" w:rsidRPr="001C67CB" w:rsidRDefault="003D53B9" w:rsidP="003D53B9">
      <w:pPr>
        <w:spacing w:after="0" w:line="240" w:lineRule="auto"/>
        <w:rPr>
          <w:rFonts w:cstheme="minorHAnsi"/>
          <w:b/>
          <w:sz w:val="24"/>
        </w:rPr>
      </w:pPr>
      <w:r w:rsidRPr="001C67CB">
        <w:rPr>
          <w:rFonts w:cstheme="minorHAnsi"/>
          <w:b/>
          <w:sz w:val="24"/>
        </w:rPr>
        <w:t xml:space="preserve">Mr. </w:t>
      </w:r>
      <w:r w:rsidR="00E04C29">
        <w:rPr>
          <w:rFonts w:cstheme="minorHAnsi"/>
          <w:b/>
          <w:sz w:val="24"/>
        </w:rPr>
        <w:t>Jeffrey Harmening</w:t>
      </w:r>
    </w:p>
    <w:p w:rsidR="00D15DA0" w:rsidRDefault="00D15DA0" w:rsidP="001E2197">
      <w:pPr>
        <w:jc w:val="center"/>
        <w:rPr>
          <w:rFonts w:cstheme="minorHAnsi"/>
          <w:b/>
          <w:sz w:val="32"/>
        </w:rPr>
      </w:pPr>
    </w:p>
    <w:p w:rsidR="00B16EB3" w:rsidRPr="001C67CB" w:rsidRDefault="00B16EB3" w:rsidP="001E2197">
      <w:pPr>
        <w:jc w:val="center"/>
        <w:rPr>
          <w:rFonts w:cstheme="minorHAnsi"/>
          <w:b/>
          <w:sz w:val="32"/>
        </w:rPr>
      </w:pPr>
      <w:r w:rsidRPr="001C67CB">
        <w:rPr>
          <w:rFonts w:cstheme="minorHAnsi"/>
          <w:b/>
          <w:sz w:val="32"/>
        </w:rPr>
        <w:t>Request for Funding</w:t>
      </w:r>
    </w:p>
    <w:p w:rsidR="00AE7715" w:rsidRPr="001C67CB" w:rsidRDefault="00FD6704">
      <w:pPr>
        <w:rPr>
          <w:rFonts w:cstheme="minorHAnsi"/>
          <w:b/>
          <w:sz w:val="24"/>
        </w:rPr>
      </w:pPr>
      <w:r w:rsidRPr="001C67CB">
        <w:rPr>
          <w:rFonts w:cstheme="minorHAnsi"/>
          <w:b/>
          <w:sz w:val="24"/>
        </w:rPr>
        <w:t xml:space="preserve">Scope: </w:t>
      </w:r>
    </w:p>
    <w:p w:rsidR="00ED0042" w:rsidRPr="001C67CB" w:rsidRDefault="00ED0042">
      <w:pPr>
        <w:rPr>
          <w:rFonts w:cstheme="minorHAnsi"/>
          <w:sz w:val="24"/>
        </w:rPr>
      </w:pPr>
      <w:r w:rsidRPr="001C67CB">
        <w:rPr>
          <w:rFonts w:cstheme="minorHAnsi"/>
          <w:sz w:val="24"/>
        </w:rPr>
        <w:t>The Cat Surveillance Panel (SP) is planning activities to</w:t>
      </w:r>
      <w:r w:rsidR="0098140F" w:rsidRPr="001C67CB">
        <w:rPr>
          <w:rFonts w:cstheme="minorHAnsi"/>
          <w:sz w:val="24"/>
        </w:rPr>
        <w:t xml:space="preserve"> help</w:t>
      </w:r>
      <w:r w:rsidRPr="001C67CB">
        <w:rPr>
          <w:rFonts w:cstheme="minorHAnsi"/>
          <w:sz w:val="24"/>
        </w:rPr>
        <w:t xml:space="preserve"> </w:t>
      </w:r>
      <w:r w:rsidR="0098140F" w:rsidRPr="001C67CB">
        <w:rPr>
          <w:rFonts w:cstheme="minorHAnsi"/>
          <w:sz w:val="24"/>
        </w:rPr>
        <w:t>establish COAT equivalen</w:t>
      </w:r>
      <w:r w:rsidR="001C67CB" w:rsidRPr="001C67CB">
        <w:rPr>
          <w:rFonts w:cstheme="minorHAnsi"/>
          <w:sz w:val="24"/>
        </w:rPr>
        <w:t>cy parameters</w:t>
      </w:r>
      <w:r w:rsidR="0098140F" w:rsidRPr="001C67CB">
        <w:rPr>
          <w:rFonts w:cstheme="minorHAnsi"/>
          <w:sz w:val="24"/>
        </w:rPr>
        <w:t xml:space="preserve"> for</w:t>
      </w:r>
      <w:r w:rsidRPr="001C67CB">
        <w:rPr>
          <w:rFonts w:cstheme="minorHAnsi"/>
          <w:sz w:val="24"/>
        </w:rPr>
        <w:t xml:space="preserve"> </w:t>
      </w:r>
      <w:r w:rsidR="0098140F" w:rsidRPr="001C67CB">
        <w:rPr>
          <w:rFonts w:cstheme="minorHAnsi"/>
          <w:sz w:val="24"/>
        </w:rPr>
        <w:t>the</w:t>
      </w:r>
      <w:r w:rsidRPr="001C67CB">
        <w:rPr>
          <w:rFonts w:cstheme="minorHAnsi"/>
          <w:sz w:val="24"/>
        </w:rPr>
        <w:t xml:space="preserve"> EOAT </w:t>
      </w:r>
      <w:r w:rsidR="0098140F" w:rsidRPr="001C67CB">
        <w:rPr>
          <w:rFonts w:cstheme="minorHAnsi"/>
          <w:sz w:val="24"/>
        </w:rPr>
        <w:t>i</w:t>
      </w:r>
      <w:r w:rsidRPr="001C67CB">
        <w:rPr>
          <w:rFonts w:cstheme="minorHAnsi"/>
          <w:sz w:val="24"/>
        </w:rPr>
        <w:t xml:space="preserve">n </w:t>
      </w:r>
      <w:r w:rsidR="0098140F" w:rsidRPr="001C67CB">
        <w:rPr>
          <w:rFonts w:cstheme="minorHAnsi"/>
          <w:sz w:val="24"/>
        </w:rPr>
        <w:t>legacy categories (</w:t>
      </w:r>
      <w:r w:rsidRPr="001C67CB">
        <w:rPr>
          <w:rFonts w:cstheme="minorHAnsi"/>
          <w:sz w:val="24"/>
        </w:rPr>
        <w:t xml:space="preserve">API CH-4, </w:t>
      </w:r>
      <w:r w:rsidR="0098140F" w:rsidRPr="001C67CB">
        <w:rPr>
          <w:rFonts w:cstheme="minorHAnsi"/>
          <w:sz w:val="24"/>
        </w:rPr>
        <w:t xml:space="preserve">API </w:t>
      </w:r>
      <w:r w:rsidRPr="001C67CB">
        <w:rPr>
          <w:rFonts w:cstheme="minorHAnsi"/>
          <w:sz w:val="24"/>
        </w:rPr>
        <w:t xml:space="preserve">CI-4 and </w:t>
      </w:r>
      <w:r w:rsidR="0098140F" w:rsidRPr="001C67CB">
        <w:rPr>
          <w:rFonts w:cstheme="minorHAnsi"/>
          <w:sz w:val="24"/>
        </w:rPr>
        <w:t xml:space="preserve">API </w:t>
      </w:r>
      <w:r w:rsidRPr="001C67CB">
        <w:rPr>
          <w:rFonts w:cstheme="minorHAnsi"/>
          <w:sz w:val="24"/>
        </w:rPr>
        <w:t>CJ-4</w:t>
      </w:r>
      <w:r w:rsidR="0098140F" w:rsidRPr="001C67CB">
        <w:rPr>
          <w:rFonts w:cstheme="minorHAnsi"/>
          <w:sz w:val="24"/>
        </w:rPr>
        <w:t>)</w:t>
      </w:r>
      <w:r w:rsidRPr="001C67CB">
        <w:rPr>
          <w:rFonts w:cstheme="minorHAnsi"/>
          <w:sz w:val="24"/>
        </w:rPr>
        <w:t xml:space="preserve">. </w:t>
      </w:r>
    </w:p>
    <w:p w:rsidR="00ED0042" w:rsidRPr="001C67CB" w:rsidRDefault="00ED0042">
      <w:pPr>
        <w:rPr>
          <w:rFonts w:cstheme="minorHAnsi"/>
          <w:sz w:val="24"/>
        </w:rPr>
      </w:pPr>
      <w:r w:rsidRPr="001C67CB">
        <w:rPr>
          <w:rFonts w:cstheme="minorHAnsi"/>
          <w:sz w:val="24"/>
        </w:rPr>
        <w:t xml:space="preserve">Funding is requested to support the test matrix planned to allow </w:t>
      </w:r>
      <w:r w:rsidR="0098140F" w:rsidRPr="001C67CB">
        <w:rPr>
          <w:rFonts w:cstheme="minorHAnsi"/>
          <w:sz w:val="24"/>
        </w:rPr>
        <w:t>for th</w:t>
      </w:r>
      <w:r w:rsidR="00192FE5" w:rsidRPr="001C67CB">
        <w:rPr>
          <w:rFonts w:cstheme="minorHAnsi"/>
          <w:sz w:val="24"/>
        </w:rPr>
        <w:t>is</w:t>
      </w:r>
      <w:r w:rsidR="0098140F" w:rsidRPr="001C67CB">
        <w:rPr>
          <w:rFonts w:cstheme="minorHAnsi"/>
          <w:sz w:val="24"/>
        </w:rPr>
        <w:t xml:space="preserve"> equivalency to be established</w:t>
      </w:r>
      <w:r w:rsidRPr="001C67CB">
        <w:rPr>
          <w:rFonts w:cstheme="minorHAnsi"/>
          <w:sz w:val="24"/>
        </w:rPr>
        <w:t xml:space="preserve">. The SP recommends running </w:t>
      </w:r>
      <w:r w:rsidR="0098140F" w:rsidRPr="001C67CB">
        <w:rPr>
          <w:rFonts w:cstheme="minorHAnsi"/>
          <w:sz w:val="24"/>
        </w:rPr>
        <w:t xml:space="preserve">of </w:t>
      </w:r>
      <w:r w:rsidRPr="001C67CB">
        <w:rPr>
          <w:rFonts w:cstheme="minorHAnsi"/>
          <w:sz w:val="24"/>
        </w:rPr>
        <w:t>6 tests:</w:t>
      </w:r>
    </w:p>
    <w:p w:rsidR="00A47C63" w:rsidRPr="001C67CB" w:rsidRDefault="00A47C63" w:rsidP="00ED00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C67CB">
        <w:rPr>
          <w:rFonts w:asciiTheme="minorHAnsi" w:hAnsiTheme="minorHAnsi" w:cstheme="minorHAnsi"/>
        </w:rPr>
        <w:t xml:space="preserve">The </w:t>
      </w:r>
      <w:r w:rsidR="0098140F" w:rsidRPr="001C67CB">
        <w:rPr>
          <w:rFonts w:asciiTheme="minorHAnsi" w:hAnsiTheme="minorHAnsi" w:cstheme="minorHAnsi"/>
        </w:rPr>
        <w:t>comparison</w:t>
      </w:r>
      <w:r w:rsidRPr="001C67CB">
        <w:rPr>
          <w:rFonts w:asciiTheme="minorHAnsi" w:hAnsiTheme="minorHAnsi" w:cstheme="minorHAnsi"/>
        </w:rPr>
        <w:t xml:space="preserve"> oil will be </w:t>
      </w:r>
      <w:r w:rsidR="0098140F" w:rsidRPr="001C67CB">
        <w:rPr>
          <w:rFonts w:asciiTheme="minorHAnsi" w:hAnsiTheme="minorHAnsi" w:cstheme="minorHAnsi"/>
        </w:rPr>
        <w:t xml:space="preserve">reference oil </w:t>
      </w:r>
      <w:r w:rsidRPr="001C67CB">
        <w:rPr>
          <w:rFonts w:asciiTheme="minorHAnsi" w:hAnsiTheme="minorHAnsi" w:cstheme="minorHAnsi"/>
        </w:rPr>
        <w:t>1005-5</w:t>
      </w:r>
      <w:r w:rsidR="00B94739" w:rsidRPr="001C67CB">
        <w:rPr>
          <w:rFonts w:asciiTheme="minorHAnsi" w:hAnsiTheme="minorHAnsi" w:cstheme="minorHAnsi"/>
        </w:rPr>
        <w:t xml:space="preserve">. </w:t>
      </w:r>
      <w:r w:rsidR="0098140F" w:rsidRPr="001C67CB">
        <w:rPr>
          <w:rFonts w:asciiTheme="minorHAnsi" w:hAnsiTheme="minorHAnsi" w:cstheme="minorHAnsi"/>
        </w:rPr>
        <w:t xml:space="preserve"> </w:t>
      </w:r>
      <w:r w:rsidR="00B94739" w:rsidRPr="001C67CB">
        <w:rPr>
          <w:rFonts w:asciiTheme="minorHAnsi" w:hAnsiTheme="minorHAnsi" w:cstheme="minorHAnsi"/>
        </w:rPr>
        <w:t xml:space="preserve">This reference oil is used </w:t>
      </w:r>
      <w:r w:rsidR="0098140F" w:rsidRPr="001C67CB">
        <w:rPr>
          <w:rFonts w:asciiTheme="minorHAnsi" w:hAnsiTheme="minorHAnsi" w:cstheme="minorHAnsi"/>
        </w:rPr>
        <w:t>as a reference oil currently for the EOAT</w:t>
      </w:r>
      <w:r w:rsidR="00192FE5" w:rsidRPr="001C67CB">
        <w:rPr>
          <w:rFonts w:asciiTheme="minorHAnsi" w:hAnsiTheme="minorHAnsi" w:cstheme="minorHAnsi"/>
        </w:rPr>
        <w:t xml:space="preserve">.  There also exists established data available in LTMS for Reference </w:t>
      </w:r>
      <w:r w:rsidR="00E04C29">
        <w:rPr>
          <w:rFonts w:asciiTheme="minorHAnsi" w:hAnsiTheme="minorHAnsi" w:cstheme="minorHAnsi"/>
        </w:rPr>
        <w:t>o</w:t>
      </w:r>
      <w:r w:rsidR="00192FE5" w:rsidRPr="001C67CB">
        <w:rPr>
          <w:rFonts w:asciiTheme="minorHAnsi" w:hAnsiTheme="minorHAnsi" w:cstheme="minorHAnsi"/>
        </w:rPr>
        <w:t>il 1005-5 and all prior versions of this reference oil</w:t>
      </w:r>
      <w:r w:rsidR="00AD24C7">
        <w:rPr>
          <w:rFonts w:asciiTheme="minorHAnsi" w:hAnsiTheme="minorHAnsi" w:cstheme="minorHAnsi"/>
        </w:rPr>
        <w:t xml:space="preserve"> for the EOAT</w:t>
      </w:r>
      <w:r w:rsidR="00192FE5" w:rsidRPr="001C67CB">
        <w:rPr>
          <w:rFonts w:asciiTheme="minorHAnsi" w:hAnsiTheme="minorHAnsi" w:cstheme="minorHAnsi"/>
        </w:rPr>
        <w:t>.</w:t>
      </w:r>
    </w:p>
    <w:p w:rsidR="00ED0042" w:rsidRPr="001C67CB" w:rsidRDefault="00A47C63" w:rsidP="00ED00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C67CB">
        <w:rPr>
          <w:rFonts w:asciiTheme="minorHAnsi" w:hAnsiTheme="minorHAnsi" w:cstheme="minorHAnsi"/>
        </w:rPr>
        <w:t>Ref</w:t>
      </w:r>
      <w:r w:rsidR="00192FE5" w:rsidRPr="001C67CB">
        <w:rPr>
          <w:rFonts w:asciiTheme="minorHAnsi" w:hAnsiTheme="minorHAnsi" w:cstheme="minorHAnsi"/>
        </w:rPr>
        <w:t>erence</w:t>
      </w:r>
      <w:r w:rsidRPr="001C67CB">
        <w:rPr>
          <w:rFonts w:asciiTheme="minorHAnsi" w:hAnsiTheme="minorHAnsi" w:cstheme="minorHAnsi"/>
        </w:rPr>
        <w:t xml:space="preserve"> </w:t>
      </w:r>
      <w:r w:rsidR="00192FE5" w:rsidRPr="001C67CB">
        <w:rPr>
          <w:rFonts w:asciiTheme="minorHAnsi" w:hAnsiTheme="minorHAnsi" w:cstheme="minorHAnsi"/>
        </w:rPr>
        <w:t xml:space="preserve">oil </w:t>
      </w:r>
      <w:r w:rsidRPr="001C67CB">
        <w:rPr>
          <w:rFonts w:asciiTheme="minorHAnsi" w:hAnsiTheme="minorHAnsi" w:cstheme="minorHAnsi"/>
        </w:rPr>
        <w:t xml:space="preserve">1005-5 </w:t>
      </w:r>
      <w:r w:rsidR="00192FE5" w:rsidRPr="001C67CB">
        <w:rPr>
          <w:rFonts w:asciiTheme="minorHAnsi" w:hAnsiTheme="minorHAnsi" w:cstheme="minorHAnsi"/>
        </w:rPr>
        <w:t>will be run twice at</w:t>
      </w:r>
      <w:r w:rsidR="00ED0042" w:rsidRPr="001C67CB">
        <w:rPr>
          <w:rFonts w:asciiTheme="minorHAnsi" w:hAnsiTheme="minorHAnsi" w:cstheme="minorHAnsi"/>
        </w:rPr>
        <w:t xml:space="preserve"> </w:t>
      </w:r>
      <w:r w:rsidRPr="001C67CB">
        <w:rPr>
          <w:rFonts w:asciiTheme="minorHAnsi" w:hAnsiTheme="minorHAnsi" w:cstheme="minorHAnsi"/>
        </w:rPr>
        <w:t>each</w:t>
      </w:r>
      <w:r w:rsidR="00192FE5" w:rsidRPr="001C67CB">
        <w:rPr>
          <w:rFonts w:asciiTheme="minorHAnsi" w:hAnsiTheme="minorHAnsi" w:cstheme="minorHAnsi"/>
        </w:rPr>
        <w:t xml:space="preserve"> calibrated</w:t>
      </w:r>
      <w:r w:rsidRPr="001C67CB">
        <w:rPr>
          <w:rFonts w:asciiTheme="minorHAnsi" w:hAnsiTheme="minorHAnsi" w:cstheme="minorHAnsi"/>
        </w:rPr>
        <w:t xml:space="preserve"> lab</w:t>
      </w:r>
      <w:r w:rsidR="00192FE5" w:rsidRPr="001C67CB">
        <w:rPr>
          <w:rFonts w:asciiTheme="minorHAnsi" w:hAnsiTheme="minorHAnsi" w:cstheme="minorHAnsi"/>
        </w:rPr>
        <w:t xml:space="preserve"> in the COAT to help establish equivalency limits (see table 1).  </w:t>
      </w:r>
    </w:p>
    <w:p w:rsidR="00D15DA0" w:rsidRDefault="00D15DA0" w:rsidP="00A47C63">
      <w:pPr>
        <w:rPr>
          <w:rFonts w:cstheme="minorHAnsi"/>
        </w:rPr>
      </w:pPr>
    </w:p>
    <w:p w:rsidR="00DD5532" w:rsidRPr="001C67CB" w:rsidRDefault="00DD5532" w:rsidP="00A47C63">
      <w:pPr>
        <w:rPr>
          <w:rFonts w:cstheme="minorHAnsi"/>
        </w:rPr>
      </w:pPr>
      <w:r w:rsidRPr="001C67CB">
        <w:rPr>
          <w:rFonts w:cstheme="minorHAnsi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230"/>
        <w:gridCol w:w="1230"/>
        <w:gridCol w:w="1231"/>
      </w:tblGrid>
      <w:tr w:rsidR="005F0613" w:rsidRPr="001C67CB" w:rsidTr="00B94739">
        <w:trPr>
          <w:trHeight w:val="261"/>
        </w:trPr>
        <w:tc>
          <w:tcPr>
            <w:tcW w:w="1598" w:type="dxa"/>
            <w:shd w:val="clear" w:color="auto" w:fill="D0CECE" w:themeFill="background2" w:themeFillShade="E6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  <w:color w:val="FF0000"/>
              </w:rPr>
              <w:t>Ref oil 1005-5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</w:rPr>
              <w:t>Lab A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</w:rPr>
              <w:t>Lab B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</w:rPr>
              <w:t>Lab G</w:t>
            </w:r>
          </w:p>
        </w:tc>
      </w:tr>
      <w:tr w:rsidR="005F0613" w:rsidRPr="001C67CB" w:rsidTr="00B94739">
        <w:trPr>
          <w:trHeight w:val="246"/>
        </w:trPr>
        <w:tc>
          <w:tcPr>
            <w:tcW w:w="1598" w:type="dxa"/>
            <w:shd w:val="clear" w:color="auto" w:fill="D0CECE" w:themeFill="background2" w:themeFillShade="E6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</w:rPr>
              <w:t>No. of tests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</w:rPr>
              <w:t>2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</w:rPr>
              <w:t>2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:rsidR="005F0613" w:rsidRPr="001C67CB" w:rsidRDefault="005F0613" w:rsidP="005F0613">
            <w:pPr>
              <w:jc w:val="center"/>
              <w:rPr>
                <w:rFonts w:cstheme="minorHAnsi"/>
                <w:b/>
              </w:rPr>
            </w:pPr>
            <w:r w:rsidRPr="001C67CB">
              <w:rPr>
                <w:rFonts w:cstheme="minorHAnsi"/>
                <w:b/>
              </w:rPr>
              <w:t>2</w:t>
            </w:r>
          </w:p>
        </w:tc>
      </w:tr>
    </w:tbl>
    <w:p w:rsidR="00D15DA0" w:rsidRDefault="00D15DA0">
      <w:pPr>
        <w:rPr>
          <w:rFonts w:cstheme="minorHAnsi"/>
          <w:sz w:val="24"/>
        </w:rPr>
      </w:pPr>
    </w:p>
    <w:p w:rsidR="00ED0042" w:rsidRPr="001C67CB" w:rsidRDefault="00B94739">
      <w:pPr>
        <w:rPr>
          <w:rFonts w:cstheme="minorHAnsi"/>
          <w:sz w:val="24"/>
        </w:rPr>
      </w:pPr>
      <w:r w:rsidRPr="001C67CB">
        <w:rPr>
          <w:rFonts w:cstheme="minorHAnsi"/>
          <w:sz w:val="24"/>
        </w:rPr>
        <w:t>Th</w:t>
      </w:r>
      <w:r w:rsidR="00BC134D" w:rsidRPr="001C67CB">
        <w:rPr>
          <w:rFonts w:cstheme="minorHAnsi"/>
          <w:sz w:val="24"/>
        </w:rPr>
        <w:t>ese</w:t>
      </w:r>
      <w:r w:rsidRPr="001C67CB">
        <w:rPr>
          <w:rFonts w:cstheme="minorHAnsi"/>
          <w:sz w:val="24"/>
        </w:rPr>
        <w:t xml:space="preserve"> </w:t>
      </w:r>
      <w:r w:rsidR="00BC134D" w:rsidRPr="001C67CB">
        <w:rPr>
          <w:rFonts w:cstheme="minorHAnsi"/>
          <w:sz w:val="24"/>
        </w:rPr>
        <w:t xml:space="preserve">six tests </w:t>
      </w:r>
      <w:r w:rsidR="00192FE5" w:rsidRPr="001C67CB">
        <w:rPr>
          <w:rFonts w:cstheme="minorHAnsi"/>
          <w:sz w:val="24"/>
        </w:rPr>
        <w:t xml:space="preserve">will help </w:t>
      </w:r>
      <w:r w:rsidRPr="001C67CB">
        <w:rPr>
          <w:rFonts w:cstheme="minorHAnsi"/>
          <w:sz w:val="24"/>
        </w:rPr>
        <w:t xml:space="preserve">guide the </w:t>
      </w:r>
      <w:r w:rsidR="00192FE5" w:rsidRPr="001C67CB">
        <w:rPr>
          <w:rFonts w:cstheme="minorHAnsi"/>
          <w:sz w:val="24"/>
        </w:rPr>
        <w:t xml:space="preserve">equivalency of the COAT to the EOAT for legacy </w:t>
      </w:r>
      <w:r w:rsidRPr="001C67CB">
        <w:rPr>
          <w:rFonts w:cstheme="minorHAnsi"/>
          <w:sz w:val="24"/>
        </w:rPr>
        <w:t>categories.</w:t>
      </w:r>
      <w:r w:rsidR="00ED0042" w:rsidRPr="001C67CB">
        <w:rPr>
          <w:rFonts w:cstheme="minorHAnsi"/>
          <w:sz w:val="24"/>
        </w:rPr>
        <w:t xml:space="preserve"> </w:t>
      </w:r>
    </w:p>
    <w:p w:rsidR="007721BA" w:rsidRPr="001C67CB" w:rsidRDefault="007721BA" w:rsidP="007721BA">
      <w:pPr>
        <w:rPr>
          <w:rFonts w:cstheme="minorHAnsi"/>
          <w:b/>
          <w:sz w:val="24"/>
        </w:rPr>
      </w:pPr>
      <w:r w:rsidRPr="001C67CB">
        <w:rPr>
          <w:rFonts w:cstheme="minorHAnsi"/>
          <w:b/>
          <w:sz w:val="24"/>
        </w:rPr>
        <w:t xml:space="preserve">Request: </w:t>
      </w:r>
    </w:p>
    <w:p w:rsidR="007721BA" w:rsidRPr="001C67CB" w:rsidRDefault="007721BA" w:rsidP="007721BA">
      <w:pPr>
        <w:rPr>
          <w:rFonts w:cstheme="minorHAnsi"/>
          <w:sz w:val="24"/>
        </w:rPr>
      </w:pPr>
      <w:r w:rsidRPr="001C67CB">
        <w:rPr>
          <w:rFonts w:cstheme="minorHAnsi"/>
          <w:sz w:val="24"/>
        </w:rPr>
        <w:t xml:space="preserve">API support of the matrix (Table </w:t>
      </w:r>
      <w:r w:rsidR="00DD5532" w:rsidRPr="001C67CB">
        <w:rPr>
          <w:rFonts w:cstheme="minorHAnsi"/>
          <w:sz w:val="24"/>
        </w:rPr>
        <w:t>1</w:t>
      </w:r>
      <w:r w:rsidRPr="001C67CB">
        <w:rPr>
          <w:rFonts w:cstheme="minorHAnsi"/>
          <w:sz w:val="24"/>
        </w:rPr>
        <w:t xml:space="preserve">) to </w:t>
      </w:r>
      <w:r w:rsidR="00B94739" w:rsidRPr="001C67CB">
        <w:rPr>
          <w:rFonts w:cstheme="minorHAnsi"/>
          <w:sz w:val="24"/>
        </w:rPr>
        <w:t xml:space="preserve">allow COAT </w:t>
      </w:r>
      <w:r w:rsidR="001C67CB" w:rsidRPr="001C67CB">
        <w:rPr>
          <w:rFonts w:cstheme="minorHAnsi"/>
          <w:sz w:val="24"/>
        </w:rPr>
        <w:t>equivalency limits for the</w:t>
      </w:r>
      <w:r w:rsidR="00B94739" w:rsidRPr="001C67CB">
        <w:rPr>
          <w:rFonts w:cstheme="minorHAnsi"/>
          <w:sz w:val="24"/>
        </w:rPr>
        <w:t xml:space="preserve"> EOAT</w:t>
      </w:r>
      <w:r w:rsidR="001C67CB" w:rsidRPr="001C67CB">
        <w:rPr>
          <w:rFonts w:cstheme="minorHAnsi"/>
          <w:sz w:val="24"/>
        </w:rPr>
        <w:t xml:space="preserve"> in legacy categories (API CH-4, API CI-4 and API CJ-4)</w:t>
      </w:r>
      <w:r w:rsidRPr="001C67CB">
        <w:rPr>
          <w:rFonts w:cstheme="minorHAnsi"/>
          <w:sz w:val="24"/>
        </w:rPr>
        <w:t>.</w:t>
      </w:r>
    </w:p>
    <w:p w:rsidR="007721BA" w:rsidRPr="001C67CB" w:rsidRDefault="007721BA" w:rsidP="002F187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C67CB">
        <w:rPr>
          <w:rFonts w:asciiTheme="minorHAnsi" w:hAnsiTheme="minorHAnsi" w:cstheme="minorHAnsi"/>
        </w:rPr>
        <w:t>Test cost:</w:t>
      </w:r>
      <w:r w:rsidR="00B94739" w:rsidRPr="001C67CB">
        <w:rPr>
          <w:rFonts w:asciiTheme="minorHAnsi" w:hAnsiTheme="minorHAnsi" w:cstheme="minorHAnsi"/>
        </w:rPr>
        <w:t xml:space="preserve"> estimate of </w:t>
      </w:r>
      <w:r w:rsidRPr="001C67CB">
        <w:rPr>
          <w:rFonts w:asciiTheme="minorHAnsi" w:hAnsiTheme="minorHAnsi" w:cstheme="minorHAnsi"/>
        </w:rPr>
        <w:t>$25K</w:t>
      </w:r>
      <w:r w:rsidR="001C67CB" w:rsidRPr="001C67CB">
        <w:rPr>
          <w:rFonts w:asciiTheme="minorHAnsi" w:hAnsiTheme="minorHAnsi" w:cstheme="minorHAnsi"/>
        </w:rPr>
        <w:t xml:space="preserve"> / test</w:t>
      </w:r>
    </w:p>
    <w:p w:rsidR="007721BA" w:rsidRPr="001C67CB" w:rsidRDefault="002F187B" w:rsidP="002F187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C67CB">
        <w:rPr>
          <w:rFonts w:asciiTheme="minorHAnsi" w:hAnsiTheme="minorHAnsi" w:cstheme="minorHAnsi"/>
        </w:rPr>
        <w:t xml:space="preserve">Total </w:t>
      </w:r>
      <w:r w:rsidR="007721BA" w:rsidRPr="001C67CB">
        <w:rPr>
          <w:rFonts w:asciiTheme="minorHAnsi" w:hAnsiTheme="minorHAnsi" w:cstheme="minorHAnsi"/>
        </w:rPr>
        <w:t xml:space="preserve">No. of tests: </w:t>
      </w:r>
      <w:r w:rsidRPr="001C67CB">
        <w:rPr>
          <w:rFonts w:asciiTheme="minorHAnsi" w:hAnsiTheme="minorHAnsi" w:cstheme="minorHAnsi"/>
        </w:rPr>
        <w:t>Six</w:t>
      </w:r>
      <w:r w:rsidR="007721BA" w:rsidRPr="001C67CB">
        <w:rPr>
          <w:rFonts w:asciiTheme="minorHAnsi" w:hAnsiTheme="minorHAnsi" w:cstheme="minorHAnsi"/>
        </w:rPr>
        <w:t>. Three participating labs, one test stand per lab. Each lab will run t</w:t>
      </w:r>
      <w:r w:rsidR="00B94739" w:rsidRPr="001C67CB">
        <w:rPr>
          <w:rFonts w:asciiTheme="minorHAnsi" w:hAnsiTheme="minorHAnsi" w:cstheme="minorHAnsi"/>
        </w:rPr>
        <w:t>wo</w:t>
      </w:r>
      <w:r w:rsidR="007721BA" w:rsidRPr="001C67CB">
        <w:rPr>
          <w:rFonts w:asciiTheme="minorHAnsi" w:hAnsiTheme="minorHAnsi" w:cstheme="minorHAnsi"/>
        </w:rPr>
        <w:t xml:space="preserve"> tests</w:t>
      </w:r>
    </w:p>
    <w:p w:rsidR="0004241A" w:rsidRDefault="007721BA" w:rsidP="002F187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C67CB">
        <w:rPr>
          <w:rFonts w:asciiTheme="minorHAnsi" w:hAnsiTheme="minorHAnsi" w:cstheme="minorHAnsi"/>
        </w:rPr>
        <w:t xml:space="preserve">Total API funding requested: </w:t>
      </w:r>
      <w:r w:rsidR="001C67CB">
        <w:rPr>
          <w:rFonts w:asciiTheme="minorHAnsi" w:hAnsiTheme="minorHAnsi" w:cstheme="minorHAnsi"/>
        </w:rPr>
        <w:t xml:space="preserve">estimate of </w:t>
      </w:r>
      <w:r w:rsidRPr="001C67CB">
        <w:rPr>
          <w:rFonts w:asciiTheme="minorHAnsi" w:hAnsiTheme="minorHAnsi" w:cstheme="minorHAnsi"/>
        </w:rPr>
        <w:t>$</w:t>
      </w:r>
      <w:r w:rsidR="00B94739" w:rsidRPr="001C67CB">
        <w:rPr>
          <w:rFonts w:asciiTheme="minorHAnsi" w:hAnsiTheme="minorHAnsi" w:cstheme="minorHAnsi"/>
        </w:rPr>
        <w:t>150</w:t>
      </w:r>
      <w:r w:rsidRPr="001C67CB">
        <w:rPr>
          <w:rFonts w:asciiTheme="minorHAnsi" w:hAnsiTheme="minorHAnsi" w:cstheme="minorHAnsi"/>
        </w:rPr>
        <w:t xml:space="preserve"> K USD to be distributed across the </w:t>
      </w:r>
      <w:r w:rsidR="002F187B" w:rsidRPr="001C67CB">
        <w:rPr>
          <w:rFonts w:asciiTheme="minorHAnsi" w:hAnsiTheme="minorHAnsi" w:cstheme="minorHAnsi"/>
        </w:rPr>
        <w:t>three</w:t>
      </w:r>
      <w:r w:rsidRPr="001C67CB">
        <w:rPr>
          <w:rFonts w:asciiTheme="minorHAnsi" w:hAnsiTheme="minorHAnsi" w:cstheme="minorHAnsi"/>
        </w:rPr>
        <w:t xml:space="preserve"> participating labs</w:t>
      </w:r>
    </w:p>
    <w:p w:rsidR="00D15DA0" w:rsidRDefault="00D15DA0" w:rsidP="0004241A">
      <w:pPr>
        <w:rPr>
          <w:rFonts w:cstheme="minorHAnsi"/>
          <w:sz w:val="24"/>
        </w:rPr>
      </w:pPr>
    </w:p>
    <w:p w:rsidR="0004241A" w:rsidRPr="001C67CB" w:rsidRDefault="0004241A" w:rsidP="0004241A">
      <w:pPr>
        <w:rPr>
          <w:rFonts w:cstheme="minorHAnsi"/>
          <w:sz w:val="24"/>
        </w:rPr>
      </w:pPr>
      <w:r w:rsidRPr="001C67CB">
        <w:rPr>
          <w:rFonts w:cstheme="minorHAnsi"/>
          <w:sz w:val="24"/>
        </w:rPr>
        <w:t xml:space="preserve">Funding support from API </w:t>
      </w:r>
      <w:r>
        <w:rPr>
          <w:rFonts w:cstheme="minorHAnsi"/>
          <w:sz w:val="24"/>
        </w:rPr>
        <w:t xml:space="preserve">for establishing equivalency limit analysis </w:t>
      </w:r>
      <w:r w:rsidRPr="001C67CB">
        <w:rPr>
          <w:rFonts w:cstheme="minorHAnsi"/>
          <w:sz w:val="24"/>
        </w:rPr>
        <w:t xml:space="preserve">would help bring this critical step into fruition in an expedient manner.  </w:t>
      </w:r>
    </w:p>
    <w:p w:rsidR="00D15DA0" w:rsidRDefault="00D15DA0">
      <w:pPr>
        <w:rPr>
          <w:rFonts w:cstheme="minorHAnsi"/>
          <w:b/>
          <w:sz w:val="24"/>
        </w:rPr>
      </w:pPr>
    </w:p>
    <w:p w:rsidR="00CC059A" w:rsidRPr="001C67CB" w:rsidRDefault="00CC059A">
      <w:pPr>
        <w:rPr>
          <w:rFonts w:cstheme="minorHAnsi"/>
          <w:b/>
          <w:sz w:val="24"/>
        </w:rPr>
      </w:pPr>
      <w:r w:rsidRPr="001C67CB">
        <w:rPr>
          <w:rFonts w:cstheme="minorHAnsi"/>
          <w:b/>
          <w:sz w:val="24"/>
        </w:rPr>
        <w:lastRenderedPageBreak/>
        <w:t>Background:</w:t>
      </w:r>
    </w:p>
    <w:p w:rsidR="00B94739" w:rsidRPr="001C67CB" w:rsidRDefault="00AE7715">
      <w:pPr>
        <w:rPr>
          <w:rFonts w:cstheme="minorHAnsi"/>
          <w:sz w:val="24"/>
        </w:rPr>
      </w:pPr>
      <w:r w:rsidRPr="001C67CB">
        <w:rPr>
          <w:rFonts w:cstheme="minorHAnsi"/>
          <w:sz w:val="24"/>
        </w:rPr>
        <w:t xml:space="preserve">The COAT Working Group and </w:t>
      </w:r>
      <w:r w:rsidR="003D53B9" w:rsidRPr="001C67CB">
        <w:rPr>
          <w:rFonts w:cstheme="minorHAnsi"/>
          <w:sz w:val="24"/>
        </w:rPr>
        <w:t xml:space="preserve">Cat </w:t>
      </w:r>
      <w:r w:rsidRPr="001C67CB">
        <w:rPr>
          <w:rFonts w:cstheme="minorHAnsi"/>
          <w:sz w:val="24"/>
        </w:rPr>
        <w:t xml:space="preserve">Surveillance Panel </w:t>
      </w:r>
      <w:r w:rsidR="00B94739" w:rsidRPr="001C67CB">
        <w:rPr>
          <w:rFonts w:cstheme="minorHAnsi"/>
          <w:sz w:val="24"/>
        </w:rPr>
        <w:t xml:space="preserve">will be </w:t>
      </w:r>
      <w:r w:rsidRPr="001C67CB">
        <w:rPr>
          <w:rFonts w:cstheme="minorHAnsi"/>
          <w:sz w:val="24"/>
        </w:rPr>
        <w:t xml:space="preserve">working </w:t>
      </w:r>
      <w:r w:rsidR="00D15DA0">
        <w:rPr>
          <w:rFonts w:cstheme="minorHAnsi"/>
          <w:sz w:val="24"/>
        </w:rPr>
        <w:t>to conduct</w:t>
      </w:r>
      <w:r w:rsidR="00E93183">
        <w:rPr>
          <w:rFonts w:cstheme="minorHAnsi"/>
          <w:sz w:val="24"/>
        </w:rPr>
        <w:t xml:space="preserve"> test</w:t>
      </w:r>
      <w:r w:rsidR="00D15DA0">
        <w:rPr>
          <w:rFonts w:cstheme="minorHAnsi"/>
          <w:sz w:val="24"/>
        </w:rPr>
        <w:t xml:space="preserve">s that </w:t>
      </w:r>
      <w:r w:rsidR="00E93183">
        <w:rPr>
          <w:rFonts w:cstheme="minorHAnsi"/>
          <w:sz w:val="24"/>
        </w:rPr>
        <w:t>allow</w:t>
      </w:r>
      <w:r w:rsidR="00D15DA0">
        <w:rPr>
          <w:rFonts w:cstheme="minorHAnsi"/>
          <w:sz w:val="24"/>
        </w:rPr>
        <w:t xml:space="preserve"> development of </w:t>
      </w:r>
      <w:r w:rsidR="001C67CB">
        <w:rPr>
          <w:rFonts w:cstheme="minorHAnsi"/>
          <w:sz w:val="24"/>
        </w:rPr>
        <w:t xml:space="preserve">equivalency of COAT for </w:t>
      </w:r>
      <w:r w:rsidR="00B94739" w:rsidRPr="001C67CB">
        <w:rPr>
          <w:rFonts w:cstheme="minorHAnsi"/>
          <w:sz w:val="24"/>
        </w:rPr>
        <w:t xml:space="preserve">EOAT in </w:t>
      </w:r>
      <w:r w:rsidR="00E93183">
        <w:rPr>
          <w:rFonts w:cstheme="minorHAnsi"/>
          <w:sz w:val="24"/>
        </w:rPr>
        <w:t>legacy</w:t>
      </w:r>
      <w:r w:rsidR="00B94739" w:rsidRPr="001C67CB">
        <w:rPr>
          <w:rFonts w:cstheme="minorHAnsi"/>
          <w:sz w:val="24"/>
        </w:rPr>
        <w:t xml:space="preserve"> API categories API C</w:t>
      </w:r>
      <w:r w:rsidR="00E93183">
        <w:rPr>
          <w:rFonts w:cstheme="minorHAnsi"/>
          <w:sz w:val="24"/>
        </w:rPr>
        <w:t xml:space="preserve">H-4, API CI-4 and API CJ-4.  </w:t>
      </w:r>
      <w:r w:rsidR="00B94739" w:rsidRPr="001C67CB">
        <w:rPr>
          <w:rFonts w:cstheme="minorHAnsi"/>
          <w:sz w:val="24"/>
        </w:rPr>
        <w:t xml:space="preserve">The EOAT </w:t>
      </w:r>
      <w:r w:rsidR="00F93865">
        <w:rPr>
          <w:rFonts w:cstheme="minorHAnsi"/>
          <w:sz w:val="24"/>
        </w:rPr>
        <w:t xml:space="preserve">engine life is questionable </w:t>
      </w:r>
      <w:r w:rsidR="00B94739" w:rsidRPr="001C67CB">
        <w:rPr>
          <w:rFonts w:cstheme="minorHAnsi"/>
          <w:sz w:val="24"/>
        </w:rPr>
        <w:t>due to its age and lack of parts availability</w:t>
      </w:r>
      <w:r w:rsidR="00F93865">
        <w:rPr>
          <w:rFonts w:cstheme="minorHAnsi"/>
          <w:sz w:val="24"/>
        </w:rPr>
        <w:t xml:space="preserve">.  </w:t>
      </w:r>
    </w:p>
    <w:p w:rsidR="00B94739" w:rsidRPr="001C67CB" w:rsidRDefault="00DD5532">
      <w:pPr>
        <w:rPr>
          <w:rFonts w:cstheme="minorHAnsi"/>
          <w:sz w:val="24"/>
        </w:rPr>
      </w:pPr>
      <w:r w:rsidRPr="001C67CB">
        <w:rPr>
          <w:rFonts w:cstheme="minorHAnsi"/>
          <w:sz w:val="24"/>
        </w:rPr>
        <w:t>The SP ha</w:t>
      </w:r>
      <w:r w:rsidR="00F93865">
        <w:rPr>
          <w:rFonts w:cstheme="minorHAnsi"/>
          <w:sz w:val="24"/>
        </w:rPr>
        <w:t>d</w:t>
      </w:r>
      <w:r w:rsidRPr="001C67CB">
        <w:rPr>
          <w:rFonts w:cstheme="minorHAnsi"/>
          <w:sz w:val="24"/>
        </w:rPr>
        <w:t xml:space="preserve"> included </w:t>
      </w:r>
      <w:r w:rsidR="0014053F">
        <w:rPr>
          <w:rFonts w:cstheme="minorHAnsi"/>
          <w:sz w:val="24"/>
        </w:rPr>
        <w:t xml:space="preserve">the </w:t>
      </w:r>
      <w:r w:rsidRPr="001C67CB">
        <w:rPr>
          <w:rFonts w:cstheme="minorHAnsi"/>
          <w:sz w:val="24"/>
        </w:rPr>
        <w:t>1005</w:t>
      </w:r>
      <w:r w:rsidR="0014053F">
        <w:rPr>
          <w:rFonts w:cstheme="minorHAnsi"/>
          <w:sz w:val="24"/>
        </w:rPr>
        <w:t>-4</w:t>
      </w:r>
      <w:r w:rsidRPr="001C67CB">
        <w:rPr>
          <w:rFonts w:cstheme="minorHAnsi"/>
          <w:sz w:val="24"/>
        </w:rPr>
        <w:t xml:space="preserve"> reference oil in earlier COAT testing matrices in order to support the </w:t>
      </w:r>
      <w:r w:rsidR="004D7974">
        <w:rPr>
          <w:rFonts w:cstheme="minorHAnsi"/>
          <w:sz w:val="24"/>
        </w:rPr>
        <w:t>equivalency of this test for legacy categories</w:t>
      </w:r>
      <w:r w:rsidRPr="001C67CB">
        <w:rPr>
          <w:rFonts w:cstheme="minorHAnsi"/>
          <w:sz w:val="24"/>
        </w:rPr>
        <w:t>.</w:t>
      </w:r>
      <w:r w:rsidR="004D7974">
        <w:rPr>
          <w:rFonts w:cstheme="minorHAnsi"/>
          <w:sz w:val="24"/>
        </w:rPr>
        <w:t xml:space="preserve"> </w:t>
      </w:r>
      <w:r w:rsidR="001E2197" w:rsidRPr="001C67CB">
        <w:rPr>
          <w:rFonts w:cstheme="minorHAnsi"/>
          <w:sz w:val="24"/>
        </w:rPr>
        <w:t>Figure 1</w:t>
      </w:r>
      <w:r w:rsidRPr="001C67CB">
        <w:rPr>
          <w:rFonts w:cstheme="minorHAnsi"/>
          <w:sz w:val="24"/>
        </w:rPr>
        <w:t xml:space="preserve"> below show</w:t>
      </w:r>
      <w:r w:rsidR="001E2197" w:rsidRPr="001C67CB">
        <w:rPr>
          <w:rFonts w:cstheme="minorHAnsi"/>
          <w:sz w:val="24"/>
        </w:rPr>
        <w:t>s</w:t>
      </w:r>
      <w:r w:rsidRPr="001C67CB">
        <w:rPr>
          <w:rFonts w:cstheme="minorHAnsi"/>
          <w:sz w:val="24"/>
        </w:rPr>
        <w:t xml:space="preserve"> historic data from prior matrices</w:t>
      </w:r>
      <w:r w:rsidR="004D7974">
        <w:rPr>
          <w:rFonts w:cstheme="minorHAnsi"/>
          <w:sz w:val="24"/>
        </w:rPr>
        <w:t xml:space="preserve"> run in the COAT test that can be used for establishing equivalency</w:t>
      </w:r>
      <w:r w:rsidR="001E2197" w:rsidRPr="001C67CB">
        <w:rPr>
          <w:rFonts w:cstheme="minorHAnsi"/>
          <w:sz w:val="24"/>
        </w:rPr>
        <w:t xml:space="preserve">. </w:t>
      </w:r>
      <w:r w:rsidRPr="001C67CB">
        <w:rPr>
          <w:rFonts w:cstheme="minorHAnsi"/>
          <w:sz w:val="24"/>
        </w:rPr>
        <w:t xml:space="preserve"> </w:t>
      </w:r>
    </w:p>
    <w:p w:rsidR="00DD5532" w:rsidRDefault="00B27F99">
      <w:pPr>
        <w:rPr>
          <w:rFonts w:cstheme="minorHAnsi"/>
          <w:sz w:val="24"/>
        </w:rPr>
      </w:pPr>
      <w:r w:rsidRPr="001C67CB">
        <w:rPr>
          <w:rFonts w:cstheme="minorHAnsi"/>
          <w:noProof/>
        </w:rPr>
        <w:drawing>
          <wp:inline distT="0" distB="0" distL="0" distR="0" wp14:anchorId="4715DBC5" wp14:editId="0B5D6083">
            <wp:extent cx="5943600" cy="4615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74" w:rsidRPr="0014053F" w:rsidRDefault="004D7974" w:rsidP="004D7974">
      <w:pPr>
        <w:jc w:val="center"/>
        <w:rPr>
          <w:rFonts w:cstheme="minorHAnsi"/>
          <w:b/>
          <w:sz w:val="24"/>
        </w:rPr>
      </w:pPr>
      <w:r w:rsidRPr="0014053F">
        <w:rPr>
          <w:rFonts w:cstheme="minorHAnsi"/>
          <w:b/>
          <w:sz w:val="24"/>
        </w:rPr>
        <w:t>Figure 1: COAT results from LTMS for Reference and Matrix oils.</w:t>
      </w:r>
    </w:p>
    <w:p w:rsidR="00DD5532" w:rsidRDefault="0014053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Since </w:t>
      </w:r>
      <w:r w:rsidR="00DD5532" w:rsidRPr="001C67CB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 xml:space="preserve">COAT </w:t>
      </w:r>
      <w:r w:rsidR="00DD5532" w:rsidRPr="001C67CB">
        <w:rPr>
          <w:rFonts w:cstheme="minorHAnsi"/>
          <w:sz w:val="24"/>
        </w:rPr>
        <w:t xml:space="preserve">test has gone through fundamental changes and improvements </w:t>
      </w:r>
      <w:r>
        <w:rPr>
          <w:rFonts w:cstheme="minorHAnsi"/>
          <w:sz w:val="24"/>
        </w:rPr>
        <w:t>to re-establish its availability to the industry</w:t>
      </w:r>
      <w:r w:rsidR="0004241A">
        <w:rPr>
          <w:rFonts w:cstheme="minorHAnsi"/>
          <w:sz w:val="24"/>
        </w:rPr>
        <w:t xml:space="preserve"> (and has been running reliably since May 2019)</w:t>
      </w:r>
      <w:r>
        <w:rPr>
          <w:rFonts w:cstheme="minorHAnsi"/>
          <w:sz w:val="24"/>
        </w:rPr>
        <w:t xml:space="preserve">, the SP believes that </w:t>
      </w:r>
      <w:r w:rsidR="00E04C29">
        <w:rPr>
          <w:rFonts w:cstheme="minorHAnsi"/>
          <w:sz w:val="24"/>
        </w:rPr>
        <w:t>new</w:t>
      </w:r>
      <w:r w:rsidR="00DD5532" w:rsidRPr="001C67CB">
        <w:rPr>
          <w:rFonts w:cstheme="minorHAnsi"/>
          <w:sz w:val="24"/>
        </w:rPr>
        <w:t xml:space="preserve"> tests</w:t>
      </w:r>
      <w:r w:rsidR="00E04C29">
        <w:rPr>
          <w:rFonts w:cstheme="minorHAnsi"/>
          <w:sz w:val="24"/>
        </w:rPr>
        <w:t xml:space="preserve"> need to be run to confirm the prior equivalency comparison.  For this reason, testing of reference oil 1005-5 is recommended to help establish equivalency for the COAT for legacy categories.</w:t>
      </w:r>
    </w:p>
    <w:p w:rsidR="00D15DA0" w:rsidRDefault="00D15DA0">
      <w:pPr>
        <w:rPr>
          <w:rFonts w:cstheme="minorHAnsi"/>
          <w:sz w:val="24"/>
        </w:rPr>
      </w:pPr>
    </w:p>
    <w:p w:rsidR="00D15DA0" w:rsidRDefault="00873B1C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Respectfully,</w:t>
      </w:r>
    </w:p>
    <w:p w:rsidR="00873B1C" w:rsidRPr="00873B1C" w:rsidRDefault="00873B1C">
      <w:pPr>
        <w:rPr>
          <w:rFonts w:cstheme="minorHAnsi"/>
          <w:i/>
          <w:color w:val="4472C4" w:themeColor="accent1"/>
          <w:sz w:val="28"/>
        </w:rPr>
      </w:pPr>
      <w:r w:rsidRPr="00873B1C">
        <w:rPr>
          <w:rFonts w:cstheme="minorHAnsi"/>
          <w:i/>
          <w:color w:val="4472C4" w:themeColor="accent1"/>
          <w:sz w:val="28"/>
        </w:rPr>
        <w:t>Hind M Abi-Akar</w:t>
      </w:r>
    </w:p>
    <w:p w:rsidR="00873B1C" w:rsidRDefault="00873B1C">
      <w:pPr>
        <w:rPr>
          <w:rFonts w:cstheme="minorHAnsi"/>
          <w:sz w:val="24"/>
        </w:rPr>
      </w:pPr>
      <w:r>
        <w:rPr>
          <w:rFonts w:cstheme="minorHAnsi"/>
          <w:sz w:val="24"/>
        </w:rPr>
        <w:t>COAT test sponsor, for the COAT Working Group</w:t>
      </w:r>
      <w:bookmarkStart w:id="0" w:name="_GoBack"/>
      <w:bookmarkEnd w:id="0"/>
    </w:p>
    <w:sectPr w:rsidR="00873B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91A" w:rsidRDefault="0077691A" w:rsidP="00B740CB">
      <w:pPr>
        <w:spacing w:after="0" w:line="240" w:lineRule="auto"/>
      </w:pPr>
      <w:r>
        <w:separator/>
      </w:r>
    </w:p>
  </w:endnote>
  <w:endnote w:type="continuationSeparator" w:id="0">
    <w:p w:rsidR="0077691A" w:rsidRDefault="0077691A" w:rsidP="00B7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CB" w:rsidRDefault="00B740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5" name="MSIPCMbc3f444b8f0052255e0553ed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40CB" w:rsidRPr="00B740CB" w:rsidRDefault="001B4DBF" w:rsidP="00B740CB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c3f444b8f0052255e0553ed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cSSJhhgDAAA2BgAADgAAAAAAAAAAAAAAAAAu&#10;AgAAZHJzL2Uyb0RvYy54bWxQSwECLQAUAAYACAAAACEAu0DtMdwAAAALAQAADwAAAAAAAAAAAAAA&#10;AAByBQAAZHJzL2Rvd25yZXYueG1sUEsFBgAAAAAEAAQA8wAAAHsGAAAAAA==&#10;" o:allowincell="f" filled="f" stroked="f" strokeweight=".5pt">
              <v:textbox inset="20pt,0,,0">
                <w:txbxContent>
                  <w:p w:rsidR="00B740CB" w:rsidRPr="00B740CB" w:rsidRDefault="001B4DBF" w:rsidP="00B740CB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91A" w:rsidRDefault="0077691A" w:rsidP="00B740CB">
      <w:pPr>
        <w:spacing w:after="0" w:line="240" w:lineRule="auto"/>
      </w:pPr>
      <w:r>
        <w:separator/>
      </w:r>
    </w:p>
  </w:footnote>
  <w:footnote w:type="continuationSeparator" w:id="0">
    <w:p w:rsidR="0077691A" w:rsidRDefault="0077691A" w:rsidP="00B7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A7467"/>
    <w:multiLevelType w:val="hybridMultilevel"/>
    <w:tmpl w:val="A2F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7638"/>
    <w:multiLevelType w:val="hybridMultilevel"/>
    <w:tmpl w:val="3F34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06C79"/>
    <w:multiLevelType w:val="hybridMultilevel"/>
    <w:tmpl w:val="7338AE78"/>
    <w:lvl w:ilvl="0" w:tplc="AA6C9C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704800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6896C9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74EAC3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B53A0F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4D54DE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346A2D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00B224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3B1ABB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15"/>
    <w:rsid w:val="00021A4D"/>
    <w:rsid w:val="0004241A"/>
    <w:rsid w:val="000B1669"/>
    <w:rsid w:val="0014053F"/>
    <w:rsid w:val="00143782"/>
    <w:rsid w:val="001466F6"/>
    <w:rsid w:val="00192FE5"/>
    <w:rsid w:val="001B4DBF"/>
    <w:rsid w:val="001C67CB"/>
    <w:rsid w:val="001E2197"/>
    <w:rsid w:val="002C4F5F"/>
    <w:rsid w:val="002F187B"/>
    <w:rsid w:val="003D53B9"/>
    <w:rsid w:val="004D7974"/>
    <w:rsid w:val="0059347E"/>
    <w:rsid w:val="00597220"/>
    <w:rsid w:val="005C3FD1"/>
    <w:rsid w:val="005D6194"/>
    <w:rsid w:val="005F0613"/>
    <w:rsid w:val="00706149"/>
    <w:rsid w:val="007721BA"/>
    <w:rsid w:val="0077691A"/>
    <w:rsid w:val="007802EA"/>
    <w:rsid w:val="007F788F"/>
    <w:rsid w:val="00847DFD"/>
    <w:rsid w:val="0086376C"/>
    <w:rsid w:val="00873B1C"/>
    <w:rsid w:val="008C799D"/>
    <w:rsid w:val="00936F64"/>
    <w:rsid w:val="0098140F"/>
    <w:rsid w:val="009A7403"/>
    <w:rsid w:val="009D6CED"/>
    <w:rsid w:val="00A47C63"/>
    <w:rsid w:val="00AD24C7"/>
    <w:rsid w:val="00AE7715"/>
    <w:rsid w:val="00B16EB3"/>
    <w:rsid w:val="00B27F99"/>
    <w:rsid w:val="00B32EF7"/>
    <w:rsid w:val="00B740CB"/>
    <w:rsid w:val="00B94739"/>
    <w:rsid w:val="00BC134D"/>
    <w:rsid w:val="00C57E18"/>
    <w:rsid w:val="00CC059A"/>
    <w:rsid w:val="00CD044E"/>
    <w:rsid w:val="00D15DA0"/>
    <w:rsid w:val="00DD5532"/>
    <w:rsid w:val="00E04C29"/>
    <w:rsid w:val="00E8538A"/>
    <w:rsid w:val="00E93183"/>
    <w:rsid w:val="00ED0042"/>
    <w:rsid w:val="00ED054E"/>
    <w:rsid w:val="00F93865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66B77"/>
  <w15:chartTrackingRefBased/>
  <w15:docId w15:val="{F168DDF2-28A5-49EC-BD22-EC85BA4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740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0CB"/>
  </w:style>
  <w:style w:type="paragraph" w:styleId="Footer">
    <w:name w:val="footer"/>
    <w:basedOn w:val="Normal"/>
    <w:link w:val="FooterChar"/>
    <w:uiPriority w:val="99"/>
    <w:unhideWhenUsed/>
    <w:rsid w:val="00B74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0CB"/>
  </w:style>
  <w:style w:type="paragraph" w:styleId="ListParagraph">
    <w:name w:val="List Paragraph"/>
    <w:basedOn w:val="Normal"/>
    <w:uiPriority w:val="34"/>
    <w:qFormat/>
    <w:rsid w:val="000B1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36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M Abi-Akar</dc:creator>
  <cp:keywords/>
  <dc:description/>
  <cp:lastModifiedBy>Hind Abi-Akar</cp:lastModifiedBy>
  <cp:revision>3</cp:revision>
  <dcterms:created xsi:type="dcterms:W3CDTF">2019-12-11T18:13:00Z</dcterms:created>
  <dcterms:modified xsi:type="dcterms:W3CDTF">2020-01-15T15:29:00Z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Abi-Akar_Hind@cat.com</vt:lpwstr>
  </property>
  <property fmtid="{D5CDD505-2E9C-101B-9397-08002B2CF9AE}" pid="5" name="MSIP_Label_fb5e2db6-eecf-4aa2-8fc3-174bf94bce19_SetDate">
    <vt:lpwstr>2018-09-19T19:48:51.7999048Z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