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A51" w:rsidRDefault="000655D2" w:rsidP="00194A51">
      <w:pPr>
        <w:pStyle w:val="Heading1"/>
        <w:rPr>
          <w:u w:val="single"/>
        </w:rPr>
      </w:pPr>
      <w:r>
        <w:rPr>
          <w:u w:val="single"/>
        </w:rPr>
        <w:t>T-13</w:t>
      </w:r>
      <w:r w:rsidR="00194A51">
        <w:rPr>
          <w:u w:val="single"/>
        </w:rPr>
        <w:t xml:space="preserve"> LTMS Requirements</w:t>
      </w:r>
    </w:p>
    <w:p w:rsidR="00194A51" w:rsidRDefault="00194A51" w:rsidP="00194A51">
      <w:pPr>
        <w:tabs>
          <w:tab w:val="left" w:pos="0"/>
          <w:tab w:val="left" w:pos="360"/>
          <w:tab w:val="left" w:pos="720"/>
          <w:tab w:val="left" w:pos="1080"/>
          <w:tab w:val="left" w:pos="1440"/>
          <w:tab w:val="left" w:pos="1800"/>
          <w:tab w:val="left" w:pos="2160"/>
        </w:tabs>
        <w:jc w:val="both"/>
        <w:rPr>
          <w:u w:val="single"/>
        </w:rPr>
      </w:pPr>
    </w:p>
    <w:p w:rsidR="00194A51" w:rsidRDefault="00194A51" w:rsidP="00194A51">
      <w:pPr>
        <w:tabs>
          <w:tab w:val="left" w:pos="0"/>
          <w:tab w:val="left" w:pos="360"/>
          <w:tab w:val="left" w:pos="720"/>
          <w:tab w:val="left" w:pos="1080"/>
          <w:tab w:val="left" w:pos="1440"/>
          <w:tab w:val="left" w:pos="1800"/>
          <w:tab w:val="left" w:pos="2160"/>
        </w:tabs>
        <w:jc w:val="both"/>
      </w:pPr>
      <w:r>
        <w:tab/>
        <w:t xml:space="preserve">The following are the specific </w:t>
      </w:r>
      <w:r w:rsidR="000655D2">
        <w:t>T-13</w:t>
      </w:r>
      <w:r>
        <w:t xml:space="preserve"> calibration test requirements.</w:t>
      </w:r>
    </w:p>
    <w:p w:rsidR="00194A51" w:rsidRDefault="00194A51" w:rsidP="00194A51">
      <w:pPr>
        <w:tabs>
          <w:tab w:val="left" w:pos="0"/>
          <w:tab w:val="left" w:pos="360"/>
          <w:tab w:val="left" w:pos="720"/>
          <w:tab w:val="left" w:pos="1080"/>
          <w:tab w:val="left" w:pos="1440"/>
          <w:tab w:val="left" w:pos="1800"/>
          <w:tab w:val="left" w:pos="2160"/>
        </w:tabs>
        <w:jc w:val="both"/>
      </w:pPr>
    </w:p>
    <w:p w:rsidR="00194A51" w:rsidRDefault="00194A51" w:rsidP="00194A51">
      <w:pPr>
        <w:tabs>
          <w:tab w:val="left" w:pos="0"/>
          <w:tab w:val="left" w:pos="360"/>
          <w:tab w:val="left" w:pos="720"/>
          <w:tab w:val="left" w:pos="1080"/>
          <w:tab w:val="left" w:pos="1440"/>
          <w:tab w:val="left" w:pos="1800"/>
          <w:tab w:val="left" w:pos="2160"/>
        </w:tabs>
        <w:jc w:val="both"/>
      </w:pPr>
      <w:r>
        <w:tab/>
        <w:t>A.</w:t>
      </w:r>
      <w:r>
        <w:tab/>
      </w:r>
      <w:r>
        <w:rPr>
          <w:u w:val="single"/>
        </w:rPr>
        <w:t xml:space="preserve">Reference Oils and Critical </w:t>
      </w:r>
      <w:r w:rsidR="000655D2">
        <w:rPr>
          <w:u w:val="single"/>
        </w:rPr>
        <w:t>Performance Criteria</w:t>
      </w:r>
    </w:p>
    <w:p w:rsidR="00194A51" w:rsidRDefault="00194A51" w:rsidP="00194A51">
      <w:pPr>
        <w:tabs>
          <w:tab w:val="left" w:pos="0"/>
          <w:tab w:val="left" w:pos="360"/>
          <w:tab w:val="left" w:pos="720"/>
          <w:tab w:val="left" w:pos="1080"/>
          <w:tab w:val="left" w:pos="1440"/>
          <w:tab w:val="left" w:pos="1800"/>
          <w:tab w:val="left" w:pos="2160"/>
        </w:tabs>
        <w:jc w:val="both"/>
      </w:pPr>
    </w:p>
    <w:p w:rsidR="00194A51" w:rsidRDefault="00194A51" w:rsidP="00194A51">
      <w:pPr>
        <w:tabs>
          <w:tab w:val="left" w:pos="0"/>
          <w:tab w:val="left" w:pos="360"/>
          <w:tab w:val="left" w:pos="720"/>
          <w:tab w:val="left" w:pos="1080"/>
          <w:tab w:val="left" w:pos="1440"/>
          <w:tab w:val="left" w:pos="1800"/>
          <w:tab w:val="left" w:pos="2160"/>
        </w:tabs>
        <w:ind w:left="720" w:hanging="720"/>
        <w:jc w:val="both"/>
      </w:pPr>
      <w:r>
        <w:tab/>
      </w:r>
      <w:r>
        <w:tab/>
        <w:t xml:space="preserve">The critical </w:t>
      </w:r>
      <w:r w:rsidR="000655D2">
        <w:t xml:space="preserve">performance criteria </w:t>
      </w:r>
      <w:r>
        <w:t xml:space="preserve">are </w:t>
      </w:r>
      <w:r w:rsidR="000655D2">
        <w:t xml:space="preserve">IR </w:t>
      </w:r>
      <w:r w:rsidR="00660FFD">
        <w:t>Oxidation</w:t>
      </w:r>
      <w:r w:rsidR="000655D2">
        <w:t xml:space="preserve"> Peak Height at 360 hours and percent increase in 40° kinematic viscosity from 300 to 360 hours. </w:t>
      </w:r>
      <w:r>
        <w:t>The reference oil</w:t>
      </w:r>
      <w:r w:rsidR="00660FFD">
        <w:t>s</w:t>
      </w:r>
      <w:r>
        <w:t xml:space="preserve"> required for test stand and test laboratory </w:t>
      </w:r>
      <w:r w:rsidR="000655D2">
        <w:t>referencing</w:t>
      </w:r>
      <w:r>
        <w:t xml:space="preserve"> are reference oils accepted by the ASTM </w:t>
      </w:r>
      <w:r w:rsidR="00660FFD">
        <w:t>T-13 Test Development Task Force</w:t>
      </w:r>
      <w:r>
        <w:t xml:space="preserve">. The means and standard deviations for the current reference oils for each critical </w:t>
      </w:r>
      <w:r w:rsidR="00660FFD">
        <w:t>performance criterion</w:t>
      </w:r>
      <w:r>
        <w:t xml:space="preserve"> are presented below.</w:t>
      </w:r>
    </w:p>
    <w:p w:rsidR="00194A51" w:rsidRDefault="00194A51" w:rsidP="00194A51">
      <w:pPr>
        <w:tabs>
          <w:tab w:val="left" w:pos="0"/>
          <w:tab w:val="left" w:pos="360"/>
          <w:tab w:val="left" w:pos="720"/>
          <w:tab w:val="left" w:pos="1080"/>
          <w:tab w:val="left" w:pos="1440"/>
          <w:tab w:val="left" w:pos="1800"/>
          <w:tab w:val="left" w:pos="2160"/>
        </w:tabs>
        <w:ind w:left="720" w:hanging="720"/>
        <w:jc w:val="both"/>
      </w:pPr>
    </w:p>
    <w:p w:rsidR="00194A51" w:rsidRDefault="00660FFD" w:rsidP="00194A51">
      <w:pPr>
        <w:tabs>
          <w:tab w:val="left" w:pos="0"/>
          <w:tab w:val="left" w:pos="360"/>
          <w:tab w:val="left" w:pos="720"/>
          <w:tab w:val="left" w:pos="1080"/>
          <w:tab w:val="left" w:pos="1440"/>
          <w:tab w:val="left" w:pos="1800"/>
          <w:tab w:val="left" w:pos="2160"/>
        </w:tabs>
        <w:ind w:left="720" w:hanging="720"/>
        <w:jc w:val="center"/>
      </w:pPr>
      <w:r>
        <w:t>IR Oxidation Peak Height</w:t>
      </w:r>
    </w:p>
    <w:p w:rsidR="00194A51" w:rsidRDefault="00194A51" w:rsidP="00194A51">
      <w:pPr>
        <w:tabs>
          <w:tab w:val="left" w:pos="0"/>
          <w:tab w:val="left" w:pos="360"/>
          <w:tab w:val="left" w:pos="720"/>
          <w:tab w:val="left" w:pos="1080"/>
          <w:tab w:val="left" w:pos="1440"/>
          <w:tab w:val="left" w:pos="1800"/>
          <w:tab w:val="left" w:pos="2160"/>
        </w:tabs>
        <w:ind w:left="720" w:hanging="720"/>
        <w:jc w:val="center"/>
        <w:rPr>
          <w:u w:val="single"/>
        </w:rPr>
      </w:pPr>
      <w:r>
        <w:t xml:space="preserve">Unit of Measure:  </w:t>
      </w:r>
      <w:r w:rsidR="00310A74">
        <w:rPr>
          <w:rFonts w:ascii="Microsoft Sans Serif" w:hAnsi="Microsoft Sans Serif" w:cs="Microsoft Sans Serif"/>
          <w:i/>
        </w:rPr>
        <w:t>absorbance / cm</w:t>
      </w:r>
    </w:p>
    <w:p w:rsidR="00194A51" w:rsidRDefault="00194A51" w:rsidP="00194A51">
      <w:pPr>
        <w:tabs>
          <w:tab w:val="left" w:pos="0"/>
          <w:tab w:val="left" w:pos="360"/>
          <w:tab w:val="left" w:pos="720"/>
          <w:tab w:val="left" w:pos="1080"/>
          <w:tab w:val="left" w:pos="1440"/>
          <w:tab w:val="left" w:pos="1800"/>
          <w:tab w:val="left" w:pos="2160"/>
        </w:tabs>
        <w:jc w:val="cente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736"/>
        <w:gridCol w:w="2736"/>
        <w:gridCol w:w="2736"/>
      </w:tblGrid>
      <w:tr w:rsidR="00194A51" w:rsidTr="003E2D07">
        <w:trPr>
          <w:jc w:val="center"/>
        </w:trPr>
        <w:tc>
          <w:tcPr>
            <w:tcW w:w="2736" w:type="dxa"/>
            <w:tcBorders>
              <w:bottom w:val="double" w:sz="4" w:space="0" w:color="auto"/>
            </w:tcBorders>
          </w:tcPr>
          <w:p w:rsidR="00194A51" w:rsidRDefault="00194A51" w:rsidP="003E2D07">
            <w:pPr>
              <w:jc w:val="center"/>
            </w:pPr>
            <w:r>
              <w:t>Reference Oil</w:t>
            </w:r>
          </w:p>
        </w:tc>
        <w:tc>
          <w:tcPr>
            <w:tcW w:w="2736" w:type="dxa"/>
            <w:tcBorders>
              <w:bottom w:val="double" w:sz="4" w:space="0" w:color="auto"/>
            </w:tcBorders>
          </w:tcPr>
          <w:p w:rsidR="00194A51" w:rsidRDefault="00194A51" w:rsidP="003E2D07">
            <w:pPr>
              <w:jc w:val="center"/>
            </w:pPr>
            <w:r>
              <w:t>Mean</w:t>
            </w:r>
          </w:p>
        </w:tc>
        <w:tc>
          <w:tcPr>
            <w:tcW w:w="2736" w:type="dxa"/>
            <w:tcBorders>
              <w:bottom w:val="double" w:sz="4" w:space="0" w:color="auto"/>
            </w:tcBorders>
          </w:tcPr>
          <w:p w:rsidR="00194A51" w:rsidRDefault="00194A51" w:rsidP="003E2D07">
            <w:pPr>
              <w:jc w:val="center"/>
            </w:pPr>
            <w:r>
              <w:t>Standard Deviation</w:t>
            </w:r>
          </w:p>
        </w:tc>
      </w:tr>
      <w:tr w:rsidR="00194A51" w:rsidTr="003E2D07">
        <w:trPr>
          <w:jc w:val="center"/>
        </w:trPr>
        <w:tc>
          <w:tcPr>
            <w:tcW w:w="2736" w:type="dxa"/>
          </w:tcPr>
          <w:p w:rsidR="00194A51" w:rsidRDefault="001F348C" w:rsidP="003E2D07">
            <w:pPr>
              <w:jc w:val="center"/>
            </w:pPr>
            <w:r>
              <w:t>PC11A</w:t>
            </w:r>
          </w:p>
        </w:tc>
        <w:tc>
          <w:tcPr>
            <w:tcW w:w="2736" w:type="dxa"/>
          </w:tcPr>
          <w:p w:rsidR="00194A51" w:rsidRDefault="001F348C" w:rsidP="001F348C">
            <w:pPr>
              <w:tabs>
                <w:tab w:val="left" w:pos="1037"/>
                <w:tab w:val="center" w:pos="1360"/>
              </w:tabs>
              <w:jc w:val="center"/>
            </w:pPr>
            <w:r>
              <w:t>142.7</w:t>
            </w:r>
          </w:p>
        </w:tc>
        <w:tc>
          <w:tcPr>
            <w:tcW w:w="2736" w:type="dxa"/>
          </w:tcPr>
          <w:p w:rsidR="00194A51" w:rsidRDefault="001F348C" w:rsidP="003E2D07">
            <w:pPr>
              <w:jc w:val="center"/>
            </w:pPr>
            <w:r>
              <w:t>12.4</w:t>
            </w:r>
          </w:p>
        </w:tc>
      </w:tr>
      <w:tr w:rsidR="005D4190" w:rsidTr="003E2D07">
        <w:trPr>
          <w:jc w:val="center"/>
        </w:trPr>
        <w:tc>
          <w:tcPr>
            <w:tcW w:w="2736" w:type="dxa"/>
          </w:tcPr>
          <w:p w:rsidR="005D4190" w:rsidRDefault="001F348C" w:rsidP="003E2D07">
            <w:pPr>
              <w:jc w:val="center"/>
            </w:pPr>
            <w:r>
              <w:t>PC11B</w:t>
            </w:r>
          </w:p>
        </w:tc>
        <w:tc>
          <w:tcPr>
            <w:tcW w:w="2736" w:type="dxa"/>
          </w:tcPr>
          <w:p w:rsidR="005D4190" w:rsidRDefault="001F348C" w:rsidP="003E2D07">
            <w:pPr>
              <w:jc w:val="center"/>
            </w:pPr>
            <w:r>
              <w:t>59.7</w:t>
            </w:r>
          </w:p>
        </w:tc>
        <w:tc>
          <w:tcPr>
            <w:tcW w:w="2736" w:type="dxa"/>
          </w:tcPr>
          <w:p w:rsidR="005D4190" w:rsidRDefault="001F348C" w:rsidP="003E2D07">
            <w:pPr>
              <w:jc w:val="center"/>
            </w:pPr>
            <w:r>
              <w:t>12.4</w:t>
            </w:r>
          </w:p>
        </w:tc>
      </w:tr>
      <w:tr w:rsidR="001F348C" w:rsidTr="003E2D07">
        <w:trPr>
          <w:jc w:val="center"/>
        </w:trPr>
        <w:tc>
          <w:tcPr>
            <w:tcW w:w="2736" w:type="dxa"/>
          </w:tcPr>
          <w:p w:rsidR="001F348C" w:rsidRDefault="001F348C" w:rsidP="003E2D07">
            <w:pPr>
              <w:jc w:val="center"/>
            </w:pPr>
            <w:r>
              <w:t>PC11C</w:t>
            </w:r>
          </w:p>
        </w:tc>
        <w:tc>
          <w:tcPr>
            <w:tcW w:w="2736" w:type="dxa"/>
          </w:tcPr>
          <w:p w:rsidR="001F348C" w:rsidRDefault="001F348C" w:rsidP="003E2D07">
            <w:pPr>
              <w:jc w:val="center"/>
            </w:pPr>
            <w:r>
              <w:t>121.1</w:t>
            </w:r>
          </w:p>
        </w:tc>
        <w:tc>
          <w:tcPr>
            <w:tcW w:w="2736" w:type="dxa"/>
          </w:tcPr>
          <w:p w:rsidR="001F348C" w:rsidRDefault="001F348C" w:rsidP="003E2D07">
            <w:pPr>
              <w:jc w:val="center"/>
            </w:pPr>
            <w:r>
              <w:t>12.4</w:t>
            </w:r>
          </w:p>
        </w:tc>
      </w:tr>
      <w:tr w:rsidR="001F348C" w:rsidTr="003E2D07">
        <w:trPr>
          <w:jc w:val="center"/>
        </w:trPr>
        <w:tc>
          <w:tcPr>
            <w:tcW w:w="2736" w:type="dxa"/>
          </w:tcPr>
          <w:p w:rsidR="001F348C" w:rsidRDefault="001F348C" w:rsidP="003E2D07">
            <w:pPr>
              <w:jc w:val="center"/>
            </w:pPr>
            <w:r>
              <w:t>PC11D</w:t>
            </w:r>
          </w:p>
        </w:tc>
        <w:tc>
          <w:tcPr>
            <w:tcW w:w="2736" w:type="dxa"/>
          </w:tcPr>
          <w:p w:rsidR="001F348C" w:rsidRDefault="001F348C" w:rsidP="003E2D07">
            <w:pPr>
              <w:jc w:val="center"/>
            </w:pPr>
            <w:r>
              <w:t>133.5</w:t>
            </w:r>
          </w:p>
        </w:tc>
        <w:tc>
          <w:tcPr>
            <w:tcW w:w="2736" w:type="dxa"/>
          </w:tcPr>
          <w:p w:rsidR="001F348C" w:rsidRDefault="001F348C" w:rsidP="003E2D07">
            <w:pPr>
              <w:jc w:val="center"/>
            </w:pPr>
            <w:r>
              <w:t>12.4</w:t>
            </w:r>
          </w:p>
        </w:tc>
      </w:tr>
      <w:tr w:rsidR="005D4190" w:rsidTr="003E2D07">
        <w:trPr>
          <w:jc w:val="center"/>
        </w:trPr>
        <w:tc>
          <w:tcPr>
            <w:tcW w:w="2736" w:type="dxa"/>
          </w:tcPr>
          <w:p w:rsidR="005D4190" w:rsidRDefault="001F348C" w:rsidP="003E2D07">
            <w:pPr>
              <w:jc w:val="center"/>
            </w:pPr>
            <w:r>
              <w:t>PC11E</w:t>
            </w:r>
          </w:p>
        </w:tc>
        <w:tc>
          <w:tcPr>
            <w:tcW w:w="2736" w:type="dxa"/>
          </w:tcPr>
          <w:p w:rsidR="005D4190" w:rsidRDefault="001F348C" w:rsidP="003E2D07">
            <w:pPr>
              <w:jc w:val="center"/>
            </w:pPr>
            <w:r>
              <w:t>59.2</w:t>
            </w:r>
          </w:p>
        </w:tc>
        <w:tc>
          <w:tcPr>
            <w:tcW w:w="2736" w:type="dxa"/>
          </w:tcPr>
          <w:p w:rsidR="005D4190" w:rsidRDefault="001F348C" w:rsidP="003E2D07">
            <w:pPr>
              <w:jc w:val="center"/>
            </w:pPr>
            <w:r>
              <w:t>12.4</w:t>
            </w:r>
          </w:p>
        </w:tc>
      </w:tr>
      <w:tr w:rsidR="00194A51" w:rsidTr="003E2D07">
        <w:trPr>
          <w:jc w:val="center"/>
        </w:trPr>
        <w:tc>
          <w:tcPr>
            <w:tcW w:w="2736" w:type="dxa"/>
          </w:tcPr>
          <w:p w:rsidR="00194A51" w:rsidRDefault="001F348C" w:rsidP="003E2D07">
            <w:pPr>
              <w:jc w:val="center"/>
            </w:pPr>
            <w:r>
              <w:t>PC11F</w:t>
            </w:r>
          </w:p>
        </w:tc>
        <w:tc>
          <w:tcPr>
            <w:tcW w:w="2736" w:type="dxa"/>
          </w:tcPr>
          <w:p w:rsidR="00194A51" w:rsidRDefault="001F348C" w:rsidP="003E2D07">
            <w:pPr>
              <w:jc w:val="center"/>
            </w:pPr>
            <w:r>
              <w:t>123.6</w:t>
            </w:r>
          </w:p>
        </w:tc>
        <w:tc>
          <w:tcPr>
            <w:tcW w:w="2736" w:type="dxa"/>
          </w:tcPr>
          <w:p w:rsidR="00194A51" w:rsidRDefault="001F348C" w:rsidP="003E2D07">
            <w:pPr>
              <w:jc w:val="center"/>
            </w:pPr>
            <w:r>
              <w:t>12.4</w:t>
            </w:r>
          </w:p>
        </w:tc>
      </w:tr>
    </w:tbl>
    <w:p w:rsidR="00194A51" w:rsidRDefault="00194A51" w:rsidP="00194A51">
      <w:pPr>
        <w:tabs>
          <w:tab w:val="left" w:pos="0"/>
          <w:tab w:val="left" w:pos="360"/>
          <w:tab w:val="left" w:pos="720"/>
          <w:tab w:val="left" w:pos="1080"/>
          <w:tab w:val="left" w:pos="1440"/>
          <w:tab w:val="left" w:pos="1800"/>
          <w:tab w:val="left" w:pos="2160"/>
        </w:tabs>
        <w:jc w:val="both"/>
      </w:pPr>
    </w:p>
    <w:p w:rsidR="001F348C" w:rsidRDefault="00E463E4" w:rsidP="001F348C">
      <w:pPr>
        <w:tabs>
          <w:tab w:val="left" w:pos="0"/>
          <w:tab w:val="left" w:pos="360"/>
          <w:tab w:val="left" w:pos="720"/>
          <w:tab w:val="left" w:pos="1080"/>
          <w:tab w:val="left" w:pos="1440"/>
          <w:tab w:val="left" w:pos="1800"/>
          <w:tab w:val="left" w:pos="2160"/>
        </w:tabs>
        <w:ind w:left="720" w:hanging="720"/>
        <w:jc w:val="center"/>
      </w:pPr>
      <w:r>
        <w:t xml:space="preserve">Percent Increase in </w:t>
      </w:r>
      <w:r w:rsidR="001F348C">
        <w:t xml:space="preserve">Viscosity at 40°C </w:t>
      </w:r>
      <w:r>
        <w:t xml:space="preserve">from </w:t>
      </w:r>
      <w:r w:rsidR="001F348C">
        <w:t xml:space="preserve">300 to 360 hour </w:t>
      </w:r>
    </w:p>
    <w:p w:rsidR="001F348C" w:rsidRDefault="001F348C" w:rsidP="001F348C">
      <w:pPr>
        <w:tabs>
          <w:tab w:val="left" w:pos="0"/>
          <w:tab w:val="left" w:pos="360"/>
          <w:tab w:val="left" w:pos="720"/>
          <w:tab w:val="left" w:pos="1080"/>
          <w:tab w:val="left" w:pos="1440"/>
          <w:tab w:val="left" w:pos="1800"/>
          <w:tab w:val="left" w:pos="2160"/>
        </w:tabs>
        <w:ind w:left="720" w:hanging="720"/>
        <w:jc w:val="center"/>
        <w:rPr>
          <w:u w:val="single"/>
        </w:rPr>
      </w:pPr>
      <w:r>
        <w:t>Unit of Measure:  %</w:t>
      </w:r>
    </w:p>
    <w:p w:rsidR="001F348C" w:rsidRDefault="001F348C" w:rsidP="001F348C">
      <w:pPr>
        <w:tabs>
          <w:tab w:val="left" w:pos="0"/>
          <w:tab w:val="left" w:pos="360"/>
          <w:tab w:val="left" w:pos="720"/>
          <w:tab w:val="left" w:pos="1080"/>
          <w:tab w:val="left" w:pos="1440"/>
          <w:tab w:val="left" w:pos="1800"/>
          <w:tab w:val="left" w:pos="2160"/>
        </w:tabs>
        <w:jc w:val="cente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736"/>
        <w:gridCol w:w="2736"/>
        <w:gridCol w:w="2736"/>
      </w:tblGrid>
      <w:tr w:rsidR="001F348C" w:rsidTr="00804D01">
        <w:trPr>
          <w:jc w:val="center"/>
        </w:trPr>
        <w:tc>
          <w:tcPr>
            <w:tcW w:w="2736" w:type="dxa"/>
            <w:tcBorders>
              <w:bottom w:val="double" w:sz="4" w:space="0" w:color="auto"/>
            </w:tcBorders>
          </w:tcPr>
          <w:p w:rsidR="001F348C" w:rsidRDefault="001F348C" w:rsidP="00804D01">
            <w:pPr>
              <w:jc w:val="center"/>
            </w:pPr>
            <w:r>
              <w:t>Reference Oil</w:t>
            </w:r>
          </w:p>
        </w:tc>
        <w:tc>
          <w:tcPr>
            <w:tcW w:w="2736" w:type="dxa"/>
            <w:tcBorders>
              <w:bottom w:val="double" w:sz="4" w:space="0" w:color="auto"/>
            </w:tcBorders>
          </w:tcPr>
          <w:p w:rsidR="001F348C" w:rsidRDefault="001F348C" w:rsidP="00804D01">
            <w:pPr>
              <w:jc w:val="center"/>
            </w:pPr>
            <w:r>
              <w:t>Mean</w:t>
            </w:r>
          </w:p>
        </w:tc>
        <w:tc>
          <w:tcPr>
            <w:tcW w:w="2736" w:type="dxa"/>
            <w:tcBorders>
              <w:bottom w:val="double" w:sz="4" w:space="0" w:color="auto"/>
            </w:tcBorders>
          </w:tcPr>
          <w:p w:rsidR="001F348C" w:rsidRDefault="001F348C" w:rsidP="00804D01">
            <w:pPr>
              <w:jc w:val="center"/>
            </w:pPr>
            <w:r>
              <w:t>Standard Deviation</w:t>
            </w:r>
          </w:p>
        </w:tc>
      </w:tr>
      <w:tr w:rsidR="001F348C" w:rsidTr="00804D01">
        <w:trPr>
          <w:jc w:val="center"/>
        </w:trPr>
        <w:tc>
          <w:tcPr>
            <w:tcW w:w="2736" w:type="dxa"/>
          </w:tcPr>
          <w:p w:rsidR="001F348C" w:rsidRDefault="001F348C" w:rsidP="00804D01">
            <w:pPr>
              <w:jc w:val="center"/>
            </w:pPr>
            <w:r>
              <w:t>PC11A</w:t>
            </w:r>
          </w:p>
        </w:tc>
        <w:tc>
          <w:tcPr>
            <w:tcW w:w="2736" w:type="dxa"/>
          </w:tcPr>
          <w:p w:rsidR="001F348C" w:rsidRDefault="001F348C" w:rsidP="00804D01">
            <w:pPr>
              <w:tabs>
                <w:tab w:val="left" w:pos="1037"/>
                <w:tab w:val="center" w:pos="1360"/>
              </w:tabs>
              <w:jc w:val="center"/>
            </w:pPr>
            <w:r>
              <w:t>86.9</w:t>
            </w:r>
          </w:p>
        </w:tc>
        <w:tc>
          <w:tcPr>
            <w:tcW w:w="2736" w:type="dxa"/>
          </w:tcPr>
          <w:p w:rsidR="001F348C" w:rsidRDefault="001F348C" w:rsidP="00804D01">
            <w:pPr>
              <w:jc w:val="center"/>
            </w:pPr>
            <w:r>
              <w:t>23.2</w:t>
            </w:r>
          </w:p>
        </w:tc>
      </w:tr>
      <w:tr w:rsidR="001F348C" w:rsidTr="00804D01">
        <w:trPr>
          <w:jc w:val="center"/>
        </w:trPr>
        <w:tc>
          <w:tcPr>
            <w:tcW w:w="2736" w:type="dxa"/>
          </w:tcPr>
          <w:p w:rsidR="001F348C" w:rsidRDefault="001F348C" w:rsidP="00804D01">
            <w:pPr>
              <w:jc w:val="center"/>
            </w:pPr>
            <w:r>
              <w:t>PC11B</w:t>
            </w:r>
          </w:p>
        </w:tc>
        <w:tc>
          <w:tcPr>
            <w:tcW w:w="2736" w:type="dxa"/>
          </w:tcPr>
          <w:p w:rsidR="001F348C" w:rsidRDefault="001F348C" w:rsidP="00804D01">
            <w:pPr>
              <w:jc w:val="center"/>
            </w:pPr>
            <w:r>
              <w:t>25.2</w:t>
            </w:r>
          </w:p>
        </w:tc>
        <w:tc>
          <w:tcPr>
            <w:tcW w:w="2736" w:type="dxa"/>
          </w:tcPr>
          <w:p w:rsidR="001F348C" w:rsidRDefault="001F348C" w:rsidP="00804D01">
            <w:pPr>
              <w:jc w:val="center"/>
            </w:pPr>
            <w:r>
              <w:t>23.2</w:t>
            </w:r>
          </w:p>
        </w:tc>
      </w:tr>
      <w:tr w:rsidR="001F348C" w:rsidTr="00804D01">
        <w:trPr>
          <w:jc w:val="center"/>
        </w:trPr>
        <w:tc>
          <w:tcPr>
            <w:tcW w:w="2736" w:type="dxa"/>
          </w:tcPr>
          <w:p w:rsidR="001F348C" w:rsidRDefault="001F348C" w:rsidP="00804D01">
            <w:pPr>
              <w:jc w:val="center"/>
            </w:pPr>
            <w:r>
              <w:t>PC11C</w:t>
            </w:r>
          </w:p>
        </w:tc>
        <w:tc>
          <w:tcPr>
            <w:tcW w:w="2736" w:type="dxa"/>
          </w:tcPr>
          <w:p w:rsidR="001F348C" w:rsidRDefault="001F348C" w:rsidP="00804D01">
            <w:pPr>
              <w:jc w:val="center"/>
            </w:pPr>
            <w:r>
              <w:t>68.8</w:t>
            </w:r>
          </w:p>
        </w:tc>
        <w:tc>
          <w:tcPr>
            <w:tcW w:w="2736" w:type="dxa"/>
          </w:tcPr>
          <w:p w:rsidR="001F348C" w:rsidRDefault="001F348C" w:rsidP="00804D01">
            <w:pPr>
              <w:jc w:val="center"/>
            </w:pPr>
            <w:r>
              <w:t>23.2</w:t>
            </w:r>
          </w:p>
        </w:tc>
      </w:tr>
      <w:tr w:rsidR="001F348C" w:rsidTr="00804D01">
        <w:trPr>
          <w:jc w:val="center"/>
        </w:trPr>
        <w:tc>
          <w:tcPr>
            <w:tcW w:w="2736" w:type="dxa"/>
          </w:tcPr>
          <w:p w:rsidR="001F348C" w:rsidRDefault="001F348C" w:rsidP="00804D01">
            <w:pPr>
              <w:jc w:val="center"/>
            </w:pPr>
            <w:r>
              <w:t>PC11D</w:t>
            </w:r>
          </w:p>
        </w:tc>
        <w:tc>
          <w:tcPr>
            <w:tcW w:w="2736" w:type="dxa"/>
          </w:tcPr>
          <w:p w:rsidR="001F348C" w:rsidRDefault="001F348C" w:rsidP="00804D01">
            <w:pPr>
              <w:jc w:val="center"/>
            </w:pPr>
            <w:r>
              <w:t>77.6</w:t>
            </w:r>
          </w:p>
        </w:tc>
        <w:tc>
          <w:tcPr>
            <w:tcW w:w="2736" w:type="dxa"/>
          </w:tcPr>
          <w:p w:rsidR="001F348C" w:rsidRDefault="001F348C" w:rsidP="00804D01">
            <w:pPr>
              <w:jc w:val="center"/>
            </w:pPr>
            <w:r>
              <w:t>23.2</w:t>
            </w:r>
          </w:p>
        </w:tc>
      </w:tr>
      <w:tr w:rsidR="001F348C" w:rsidTr="00804D01">
        <w:trPr>
          <w:jc w:val="center"/>
        </w:trPr>
        <w:tc>
          <w:tcPr>
            <w:tcW w:w="2736" w:type="dxa"/>
          </w:tcPr>
          <w:p w:rsidR="001F348C" w:rsidRDefault="001F348C" w:rsidP="00804D01">
            <w:pPr>
              <w:jc w:val="center"/>
            </w:pPr>
            <w:r>
              <w:t>PC11E</w:t>
            </w:r>
          </w:p>
        </w:tc>
        <w:tc>
          <w:tcPr>
            <w:tcW w:w="2736" w:type="dxa"/>
          </w:tcPr>
          <w:p w:rsidR="001F348C" w:rsidRDefault="001F348C" w:rsidP="00804D01">
            <w:pPr>
              <w:jc w:val="center"/>
            </w:pPr>
            <w:r>
              <w:t>23.2</w:t>
            </w:r>
          </w:p>
        </w:tc>
        <w:tc>
          <w:tcPr>
            <w:tcW w:w="2736" w:type="dxa"/>
          </w:tcPr>
          <w:p w:rsidR="001F348C" w:rsidRDefault="001F348C" w:rsidP="00804D01">
            <w:pPr>
              <w:jc w:val="center"/>
            </w:pPr>
            <w:r>
              <w:t>23.2</w:t>
            </w:r>
          </w:p>
        </w:tc>
      </w:tr>
      <w:tr w:rsidR="001F348C" w:rsidTr="00804D01">
        <w:trPr>
          <w:jc w:val="center"/>
        </w:trPr>
        <w:tc>
          <w:tcPr>
            <w:tcW w:w="2736" w:type="dxa"/>
          </w:tcPr>
          <w:p w:rsidR="001F348C" w:rsidRDefault="001F348C" w:rsidP="00804D01">
            <w:pPr>
              <w:jc w:val="center"/>
            </w:pPr>
            <w:r>
              <w:t>PC11F</w:t>
            </w:r>
          </w:p>
        </w:tc>
        <w:tc>
          <w:tcPr>
            <w:tcW w:w="2736" w:type="dxa"/>
          </w:tcPr>
          <w:p w:rsidR="001F348C" w:rsidRDefault="001F348C" w:rsidP="001F348C">
            <w:pPr>
              <w:jc w:val="center"/>
            </w:pPr>
            <w:r>
              <w:t>87.1</w:t>
            </w:r>
          </w:p>
        </w:tc>
        <w:tc>
          <w:tcPr>
            <w:tcW w:w="2736" w:type="dxa"/>
          </w:tcPr>
          <w:p w:rsidR="001F348C" w:rsidRDefault="00E463E4" w:rsidP="00804D01">
            <w:pPr>
              <w:jc w:val="center"/>
            </w:pPr>
            <w:r>
              <w:t>23.2</w:t>
            </w:r>
          </w:p>
        </w:tc>
      </w:tr>
    </w:tbl>
    <w:p w:rsidR="00194A51" w:rsidRDefault="00194A51" w:rsidP="00194A51">
      <w:pPr>
        <w:tabs>
          <w:tab w:val="left" w:pos="0"/>
          <w:tab w:val="left" w:pos="360"/>
          <w:tab w:val="left" w:pos="720"/>
          <w:tab w:val="left" w:pos="1080"/>
          <w:tab w:val="left" w:pos="1440"/>
          <w:tab w:val="left" w:pos="1800"/>
          <w:tab w:val="left" w:pos="2160"/>
        </w:tabs>
        <w:jc w:val="both"/>
      </w:pPr>
    </w:p>
    <w:p w:rsidR="00194A51" w:rsidRDefault="00194A51" w:rsidP="00194A51">
      <w:pPr>
        <w:tabs>
          <w:tab w:val="left" w:pos="0"/>
          <w:tab w:val="left" w:pos="360"/>
          <w:tab w:val="left" w:pos="720"/>
          <w:tab w:val="left" w:pos="1080"/>
          <w:tab w:val="left" w:pos="1440"/>
          <w:tab w:val="left" w:pos="1800"/>
          <w:tab w:val="left" w:pos="2160"/>
        </w:tabs>
        <w:jc w:val="both"/>
      </w:pPr>
    </w:p>
    <w:p w:rsidR="00194A51" w:rsidRDefault="00194A51" w:rsidP="00194A51">
      <w:pPr>
        <w:tabs>
          <w:tab w:val="left" w:pos="0"/>
          <w:tab w:val="left" w:pos="360"/>
          <w:tab w:val="left" w:pos="720"/>
          <w:tab w:val="left" w:pos="1080"/>
          <w:tab w:val="left" w:pos="1440"/>
          <w:tab w:val="left" w:pos="1800"/>
          <w:tab w:val="left" w:pos="2160"/>
        </w:tabs>
        <w:jc w:val="both"/>
      </w:pPr>
      <w:r>
        <w:tab/>
        <w:t>B.</w:t>
      </w:r>
      <w:r>
        <w:tab/>
      </w:r>
      <w:r>
        <w:rPr>
          <w:u w:val="single"/>
        </w:rPr>
        <w:t>Acceptance Criteria</w:t>
      </w:r>
    </w:p>
    <w:p w:rsidR="00194A51" w:rsidRDefault="00194A51" w:rsidP="00194A51">
      <w:pPr>
        <w:tabs>
          <w:tab w:val="left" w:pos="0"/>
          <w:tab w:val="left" w:pos="360"/>
          <w:tab w:val="left" w:pos="720"/>
          <w:tab w:val="left" w:pos="1080"/>
          <w:tab w:val="left" w:pos="1440"/>
          <w:tab w:val="left" w:pos="1800"/>
          <w:tab w:val="left" w:pos="2160"/>
        </w:tabs>
        <w:jc w:val="both"/>
      </w:pPr>
    </w:p>
    <w:p w:rsidR="00194A51" w:rsidRDefault="00194A51" w:rsidP="00194A51">
      <w:pPr>
        <w:tabs>
          <w:tab w:val="left" w:pos="0"/>
          <w:tab w:val="left" w:pos="360"/>
          <w:tab w:val="left" w:pos="720"/>
          <w:tab w:val="left" w:pos="1080"/>
          <w:tab w:val="left" w:pos="1440"/>
          <w:tab w:val="left" w:pos="1800"/>
          <w:tab w:val="left" w:pos="2160"/>
        </w:tabs>
        <w:jc w:val="both"/>
      </w:pPr>
      <w:r>
        <w:tab/>
      </w:r>
      <w:r>
        <w:tab/>
        <w:t>1.</w:t>
      </w:r>
      <w:r>
        <w:tab/>
        <w:t>New Test Stand</w:t>
      </w:r>
    </w:p>
    <w:p w:rsidR="00194A51" w:rsidRDefault="00194A51" w:rsidP="00194A51">
      <w:pPr>
        <w:tabs>
          <w:tab w:val="left" w:pos="0"/>
          <w:tab w:val="left" w:pos="360"/>
          <w:tab w:val="left" w:pos="720"/>
          <w:tab w:val="left" w:pos="1080"/>
          <w:tab w:val="left" w:pos="1440"/>
          <w:tab w:val="left" w:pos="1800"/>
          <w:tab w:val="left" w:pos="2160"/>
        </w:tabs>
        <w:jc w:val="both"/>
      </w:pPr>
    </w:p>
    <w:p w:rsidR="00194A51" w:rsidRDefault="00194A51" w:rsidP="005E7245">
      <w:pPr>
        <w:tabs>
          <w:tab w:val="left" w:pos="0"/>
          <w:tab w:val="left" w:pos="360"/>
          <w:tab w:val="left" w:pos="720"/>
          <w:tab w:val="left" w:pos="1080"/>
          <w:tab w:val="left" w:pos="1440"/>
          <w:tab w:val="left" w:pos="1800"/>
          <w:tab w:val="left" w:pos="2160"/>
        </w:tabs>
      </w:pPr>
      <w:r>
        <w:tab/>
      </w:r>
      <w:r>
        <w:tab/>
      </w:r>
      <w:r>
        <w:tab/>
        <w:t>a.</w:t>
      </w:r>
      <w:r>
        <w:tab/>
      </w:r>
      <w:r w:rsidR="005E7245" w:rsidRPr="005E7245">
        <w:t xml:space="preserve">The first two stands in a laboratory </w:t>
      </w:r>
    </w:p>
    <w:p w:rsidR="00194A51" w:rsidRDefault="00194A51" w:rsidP="00194A51">
      <w:pPr>
        <w:tabs>
          <w:tab w:val="left" w:pos="0"/>
          <w:tab w:val="left" w:pos="360"/>
          <w:tab w:val="left" w:pos="720"/>
          <w:tab w:val="left" w:pos="1080"/>
          <w:tab w:val="left" w:pos="1440"/>
          <w:tab w:val="left" w:pos="1800"/>
          <w:tab w:val="left" w:pos="2160"/>
        </w:tabs>
        <w:jc w:val="both"/>
      </w:pPr>
    </w:p>
    <w:p w:rsidR="00194A51" w:rsidRDefault="00194A51" w:rsidP="00194A51">
      <w:pPr>
        <w:tabs>
          <w:tab w:val="left" w:pos="0"/>
          <w:tab w:val="left" w:pos="360"/>
          <w:tab w:val="left" w:pos="720"/>
          <w:tab w:val="left" w:pos="1080"/>
          <w:tab w:val="left" w:pos="1440"/>
          <w:tab w:val="left" w:pos="1800"/>
          <w:tab w:val="left" w:pos="2160"/>
        </w:tabs>
        <w:ind w:left="1800" w:hanging="1800"/>
        <w:jc w:val="both"/>
      </w:pPr>
      <w:r>
        <w:tab/>
      </w:r>
      <w:r>
        <w:tab/>
      </w:r>
      <w:r>
        <w:tab/>
      </w:r>
      <w:r>
        <w:tab/>
      </w:r>
      <w:r>
        <w:sym w:font="Symbol" w:char="F0B7"/>
      </w:r>
      <w:r>
        <w:tab/>
        <w:t xml:space="preserve">A minimum of two (2) operationally valid </w:t>
      </w:r>
      <w:proofErr w:type="gramStart"/>
      <w:r w:rsidR="00C00280">
        <w:t>calibration</w:t>
      </w:r>
      <w:proofErr w:type="gramEnd"/>
      <w:r>
        <w:t xml:space="preserve"> tests, with no stand Shewhart severity alarms and no stand Shewhart precision alarms, must be conducted on any approved reference oils.</w:t>
      </w:r>
    </w:p>
    <w:p w:rsidR="00194A51" w:rsidRDefault="00194A51" w:rsidP="00194A51">
      <w:pPr>
        <w:tabs>
          <w:tab w:val="left" w:pos="0"/>
          <w:tab w:val="left" w:pos="360"/>
          <w:tab w:val="left" w:pos="720"/>
          <w:tab w:val="left" w:pos="1080"/>
          <w:tab w:val="left" w:pos="1440"/>
          <w:tab w:val="left" w:pos="1800"/>
          <w:tab w:val="left" w:pos="2160"/>
        </w:tabs>
        <w:ind w:left="1440" w:hanging="1440"/>
        <w:jc w:val="both"/>
      </w:pPr>
    </w:p>
    <w:p w:rsidR="00194A51" w:rsidRDefault="00194A51" w:rsidP="00194A51">
      <w:pPr>
        <w:tabs>
          <w:tab w:val="left" w:pos="0"/>
          <w:tab w:val="left" w:pos="360"/>
          <w:tab w:val="left" w:pos="720"/>
          <w:tab w:val="left" w:pos="1080"/>
          <w:tab w:val="left" w:pos="1440"/>
          <w:tab w:val="left" w:pos="1800"/>
          <w:tab w:val="left" w:pos="2160"/>
        </w:tabs>
        <w:ind w:left="1800" w:hanging="1800"/>
        <w:jc w:val="both"/>
      </w:pPr>
      <w:r>
        <w:tab/>
      </w:r>
      <w:r>
        <w:tab/>
      </w:r>
      <w:r>
        <w:tab/>
      </w:r>
      <w:r>
        <w:tab/>
      </w:r>
      <w:r>
        <w:sym w:font="Symbol" w:char="F0B7"/>
      </w:r>
      <w:r>
        <w:tab/>
        <w:t xml:space="preserve">All operationally valid </w:t>
      </w:r>
      <w:r w:rsidR="005E7245">
        <w:t>calibration</w:t>
      </w:r>
      <w:r>
        <w:t xml:space="preserve"> test results must be charted to determine if the test stand is currently “in control” as defined by the control charts from the Lubricant Test Monitoring System.</w:t>
      </w:r>
    </w:p>
    <w:p w:rsidR="00194A51" w:rsidRDefault="00194A51" w:rsidP="00194A51">
      <w:pPr>
        <w:tabs>
          <w:tab w:val="left" w:pos="0"/>
          <w:tab w:val="left" w:pos="360"/>
          <w:tab w:val="left" w:pos="720"/>
          <w:tab w:val="left" w:pos="1080"/>
          <w:tab w:val="left" w:pos="1440"/>
          <w:tab w:val="left" w:pos="1800"/>
          <w:tab w:val="left" w:pos="2160"/>
        </w:tabs>
        <w:ind w:left="1440" w:hanging="1440"/>
        <w:jc w:val="both"/>
      </w:pPr>
    </w:p>
    <w:p w:rsidR="00194A51" w:rsidRDefault="00194A51" w:rsidP="00194A51">
      <w:pPr>
        <w:tabs>
          <w:tab w:val="left" w:pos="0"/>
          <w:tab w:val="left" w:pos="360"/>
          <w:tab w:val="left" w:pos="720"/>
          <w:tab w:val="left" w:pos="1080"/>
          <w:tab w:val="left" w:pos="1440"/>
          <w:tab w:val="left" w:pos="1800"/>
          <w:tab w:val="left" w:pos="2160"/>
        </w:tabs>
        <w:ind w:left="1440" w:hanging="1440"/>
        <w:jc w:val="both"/>
      </w:pPr>
      <w:r>
        <w:tab/>
      </w:r>
      <w:r>
        <w:tab/>
      </w:r>
      <w:r>
        <w:tab/>
        <w:t>b.</w:t>
      </w:r>
      <w:r>
        <w:tab/>
      </w:r>
      <w:r w:rsidR="005E7245">
        <w:t>Third and subsequent stands in a laboratory</w:t>
      </w:r>
    </w:p>
    <w:p w:rsidR="00194A51" w:rsidRDefault="00194A51" w:rsidP="00194A51">
      <w:pPr>
        <w:tabs>
          <w:tab w:val="left" w:pos="0"/>
          <w:tab w:val="left" w:pos="360"/>
          <w:tab w:val="left" w:pos="720"/>
          <w:tab w:val="left" w:pos="1080"/>
          <w:tab w:val="left" w:pos="1440"/>
          <w:tab w:val="left" w:pos="1800"/>
          <w:tab w:val="left" w:pos="2160"/>
        </w:tabs>
        <w:ind w:left="1440" w:hanging="1440"/>
        <w:jc w:val="both"/>
      </w:pPr>
    </w:p>
    <w:p w:rsidR="00194A51" w:rsidRDefault="00194A51" w:rsidP="00194A51">
      <w:pPr>
        <w:tabs>
          <w:tab w:val="left" w:pos="0"/>
          <w:tab w:val="left" w:pos="360"/>
          <w:tab w:val="left" w:pos="720"/>
          <w:tab w:val="left" w:pos="1080"/>
          <w:tab w:val="left" w:pos="1440"/>
          <w:tab w:val="left" w:pos="1800"/>
          <w:tab w:val="left" w:pos="2160"/>
        </w:tabs>
        <w:ind w:left="1800" w:hanging="1800"/>
        <w:jc w:val="both"/>
      </w:pPr>
      <w:r>
        <w:tab/>
      </w:r>
      <w:r>
        <w:tab/>
      </w:r>
      <w:r>
        <w:tab/>
      </w:r>
      <w:r>
        <w:tab/>
      </w:r>
      <w:r>
        <w:sym w:font="Symbol" w:char="F0B7"/>
      </w:r>
      <w:r>
        <w:tab/>
        <w:t xml:space="preserve">The first operationally valid </w:t>
      </w:r>
      <w:r w:rsidR="005E7245">
        <w:t>calibration</w:t>
      </w:r>
      <w:r>
        <w:t xml:space="preserve"> test run on any approved </w:t>
      </w:r>
      <w:r w:rsidR="005E7245">
        <w:t>calibration</w:t>
      </w:r>
      <w:r>
        <w:t xml:space="preserve"> oil must have no stand Shewhart severity alarm and no stand Shew</w:t>
      </w:r>
      <w:r w:rsidR="005E7245">
        <w:t xml:space="preserve">hart precision alarm using the </w:t>
      </w:r>
      <w:r>
        <w:t>Reduced K values.  If the first operationally valid calibration test does not meet this acceptance criteri</w:t>
      </w:r>
      <w:r w:rsidR="005E7245">
        <w:t>on</w:t>
      </w:r>
      <w:r>
        <w:t>, then the New Test Stand criteria listed above in 1.a must be followed.</w:t>
      </w:r>
    </w:p>
    <w:p w:rsidR="005E7245" w:rsidRDefault="005E7245" w:rsidP="00194A51">
      <w:pPr>
        <w:tabs>
          <w:tab w:val="left" w:pos="0"/>
          <w:tab w:val="left" w:pos="360"/>
          <w:tab w:val="left" w:pos="720"/>
          <w:tab w:val="left" w:pos="1080"/>
          <w:tab w:val="left" w:pos="1440"/>
          <w:tab w:val="left" w:pos="1800"/>
          <w:tab w:val="left" w:pos="2160"/>
        </w:tabs>
        <w:ind w:left="1440" w:hanging="1440"/>
        <w:jc w:val="both"/>
      </w:pPr>
    </w:p>
    <w:p w:rsidR="00194A51" w:rsidRDefault="00194A51" w:rsidP="00194A51">
      <w:pPr>
        <w:tabs>
          <w:tab w:val="left" w:pos="0"/>
          <w:tab w:val="left" w:pos="360"/>
          <w:tab w:val="left" w:pos="720"/>
          <w:tab w:val="left" w:pos="1080"/>
          <w:tab w:val="left" w:pos="1440"/>
          <w:tab w:val="left" w:pos="1800"/>
          <w:tab w:val="left" w:pos="2160"/>
        </w:tabs>
        <w:ind w:left="1440" w:hanging="1440"/>
        <w:jc w:val="both"/>
      </w:pPr>
      <w:r>
        <w:lastRenderedPageBreak/>
        <w:tab/>
      </w:r>
      <w:r>
        <w:tab/>
        <w:t>2.</w:t>
      </w:r>
      <w:r>
        <w:tab/>
        <w:t>Existing Test Stand</w:t>
      </w:r>
    </w:p>
    <w:p w:rsidR="00194A51" w:rsidRDefault="00194A51" w:rsidP="00194A51">
      <w:pPr>
        <w:tabs>
          <w:tab w:val="left" w:pos="0"/>
          <w:tab w:val="left" w:pos="360"/>
          <w:tab w:val="left" w:pos="720"/>
          <w:tab w:val="left" w:pos="1080"/>
          <w:tab w:val="left" w:pos="1440"/>
          <w:tab w:val="left" w:pos="1800"/>
          <w:tab w:val="left" w:pos="2160"/>
        </w:tabs>
        <w:ind w:left="1440" w:hanging="1440"/>
        <w:jc w:val="both"/>
      </w:pPr>
    </w:p>
    <w:p w:rsidR="00194A51" w:rsidRDefault="00194A51" w:rsidP="00194A51">
      <w:pPr>
        <w:tabs>
          <w:tab w:val="left" w:pos="0"/>
          <w:tab w:val="left" w:pos="360"/>
          <w:tab w:val="left" w:pos="720"/>
          <w:tab w:val="left" w:pos="1080"/>
          <w:tab w:val="left" w:pos="1440"/>
          <w:tab w:val="left" w:pos="1800"/>
          <w:tab w:val="left" w:pos="2160"/>
        </w:tabs>
        <w:ind w:left="1440" w:hanging="1440"/>
        <w:jc w:val="both"/>
      </w:pPr>
      <w:r>
        <w:tab/>
      </w:r>
      <w:r>
        <w:tab/>
      </w:r>
      <w:r>
        <w:tab/>
      </w:r>
      <w:r>
        <w:sym w:font="Symbol" w:char="F0B7"/>
      </w:r>
      <w:r>
        <w:tab/>
        <w:t>The test stand must have been accepted into the system by meeting LTMS calibration requirements.</w:t>
      </w:r>
    </w:p>
    <w:p w:rsidR="00194A51" w:rsidRDefault="00194A51" w:rsidP="00194A51">
      <w:pPr>
        <w:tabs>
          <w:tab w:val="left" w:pos="0"/>
          <w:tab w:val="left" w:pos="360"/>
          <w:tab w:val="left" w:pos="720"/>
          <w:tab w:val="left" w:pos="1080"/>
          <w:tab w:val="left" w:pos="1440"/>
          <w:tab w:val="left" w:pos="1800"/>
          <w:tab w:val="left" w:pos="2160"/>
        </w:tabs>
        <w:ind w:left="1440" w:hanging="1440"/>
        <w:jc w:val="both"/>
      </w:pPr>
    </w:p>
    <w:p w:rsidR="00194A51" w:rsidRDefault="00194A51" w:rsidP="00194A51">
      <w:pPr>
        <w:tabs>
          <w:tab w:val="left" w:pos="0"/>
          <w:tab w:val="left" w:pos="360"/>
          <w:tab w:val="left" w:pos="720"/>
          <w:tab w:val="left" w:pos="1080"/>
          <w:tab w:val="left" w:pos="1440"/>
          <w:tab w:val="left" w:pos="1800"/>
          <w:tab w:val="left" w:pos="2160"/>
        </w:tabs>
        <w:ind w:left="1440" w:hanging="1440"/>
        <w:jc w:val="both"/>
      </w:pPr>
      <w:r>
        <w:tab/>
      </w:r>
      <w:r>
        <w:tab/>
      </w:r>
      <w:r>
        <w:tab/>
      </w:r>
      <w:r>
        <w:sym w:font="Symbol" w:char="F0B7"/>
      </w:r>
      <w:r>
        <w:tab/>
        <w:t xml:space="preserve">All operationally valid calibration test results on reference oil </w:t>
      </w:r>
      <w:r w:rsidR="00E463E4">
        <w:t>PC11A</w:t>
      </w:r>
      <w:r>
        <w:t xml:space="preserve"> and subsequent approved reblends must be charted to determine if the test stand is currently “in control” as defined by the control charts from the Lubricant Test Monitoring System.</w:t>
      </w:r>
    </w:p>
    <w:p w:rsidR="00194A51" w:rsidRDefault="00194A51" w:rsidP="00194A51">
      <w:pPr>
        <w:tabs>
          <w:tab w:val="left" w:pos="0"/>
          <w:tab w:val="left" w:pos="360"/>
          <w:tab w:val="left" w:pos="720"/>
          <w:tab w:val="left" w:pos="1080"/>
          <w:tab w:val="left" w:pos="1440"/>
          <w:tab w:val="left" w:pos="1800"/>
          <w:tab w:val="left" w:pos="2160"/>
        </w:tabs>
        <w:jc w:val="both"/>
      </w:pPr>
    </w:p>
    <w:p w:rsidR="00194A51" w:rsidRDefault="00194A51" w:rsidP="00194A51">
      <w:pPr>
        <w:tabs>
          <w:tab w:val="left" w:pos="0"/>
          <w:tab w:val="left" w:pos="360"/>
          <w:tab w:val="left" w:pos="720"/>
          <w:tab w:val="left" w:pos="1080"/>
          <w:tab w:val="left" w:pos="1440"/>
          <w:tab w:val="left" w:pos="1800"/>
          <w:tab w:val="left" w:pos="2160"/>
        </w:tabs>
        <w:jc w:val="both"/>
      </w:pPr>
    </w:p>
    <w:p w:rsidR="00194A51" w:rsidRDefault="00194A51" w:rsidP="00194A51">
      <w:pPr>
        <w:tabs>
          <w:tab w:val="left" w:pos="0"/>
          <w:tab w:val="left" w:pos="360"/>
          <w:tab w:val="left" w:pos="720"/>
          <w:tab w:val="left" w:pos="1080"/>
          <w:tab w:val="left" w:pos="1440"/>
          <w:tab w:val="left" w:pos="1800"/>
          <w:tab w:val="left" w:pos="2160"/>
        </w:tabs>
        <w:ind w:left="1440" w:hanging="1440"/>
        <w:jc w:val="both"/>
      </w:pPr>
      <w:r>
        <w:tab/>
      </w:r>
      <w:r>
        <w:tab/>
        <w:t>3.</w:t>
      </w:r>
      <w:r>
        <w:tab/>
        <w:t>Reference Oil Assignment</w:t>
      </w:r>
    </w:p>
    <w:p w:rsidR="00194A51" w:rsidRDefault="00194A51" w:rsidP="00194A51">
      <w:pPr>
        <w:tabs>
          <w:tab w:val="left" w:pos="0"/>
          <w:tab w:val="left" w:pos="360"/>
          <w:tab w:val="left" w:pos="720"/>
          <w:tab w:val="left" w:pos="1080"/>
          <w:tab w:val="left" w:pos="1440"/>
          <w:tab w:val="left" w:pos="1800"/>
          <w:tab w:val="left" w:pos="2160"/>
        </w:tabs>
        <w:ind w:left="1440" w:hanging="1440"/>
        <w:jc w:val="both"/>
      </w:pPr>
    </w:p>
    <w:p w:rsidR="00194A51" w:rsidRDefault="00194A51" w:rsidP="00194A51">
      <w:pPr>
        <w:tabs>
          <w:tab w:val="left" w:pos="0"/>
          <w:tab w:val="left" w:pos="360"/>
          <w:tab w:val="left" w:pos="720"/>
          <w:tab w:val="left" w:pos="1080"/>
          <w:tab w:val="left" w:pos="1440"/>
          <w:tab w:val="left" w:pos="1800"/>
          <w:tab w:val="left" w:pos="2160"/>
        </w:tabs>
        <w:ind w:left="1080" w:hanging="1080"/>
        <w:jc w:val="both"/>
      </w:pPr>
      <w:r>
        <w:tab/>
      </w:r>
      <w:r>
        <w:tab/>
      </w:r>
      <w:r>
        <w:tab/>
        <w:t xml:space="preserve">Once test </w:t>
      </w:r>
      <w:r w:rsidR="00E463E4">
        <w:t xml:space="preserve">stands have been accepted into </w:t>
      </w:r>
      <w:r>
        <w:t>the system, the TMC will assign reference oils for continuing calibration according to the reference oil mix:</w:t>
      </w:r>
    </w:p>
    <w:p w:rsidR="00194A51" w:rsidRDefault="00194A51" w:rsidP="00194A51">
      <w:pPr>
        <w:tabs>
          <w:tab w:val="left" w:pos="0"/>
          <w:tab w:val="left" w:pos="360"/>
          <w:tab w:val="left" w:pos="720"/>
          <w:tab w:val="left" w:pos="1080"/>
          <w:tab w:val="left" w:pos="1440"/>
          <w:tab w:val="left" w:pos="1800"/>
          <w:tab w:val="left" w:pos="2160"/>
        </w:tabs>
        <w:ind w:left="1080" w:hanging="1080"/>
        <w:jc w:val="both"/>
      </w:pPr>
    </w:p>
    <w:p w:rsidR="00194A51" w:rsidRDefault="00194A51" w:rsidP="00194A51">
      <w:pPr>
        <w:tabs>
          <w:tab w:val="left" w:pos="0"/>
          <w:tab w:val="left" w:pos="360"/>
          <w:tab w:val="left" w:pos="720"/>
          <w:tab w:val="left" w:pos="1080"/>
          <w:tab w:val="left" w:pos="1440"/>
          <w:tab w:val="left" w:pos="1800"/>
          <w:tab w:val="left" w:pos="2160"/>
        </w:tabs>
        <w:ind w:left="1440" w:hanging="1440"/>
        <w:jc w:val="both"/>
      </w:pPr>
      <w:r>
        <w:tab/>
      </w:r>
      <w:r>
        <w:tab/>
      </w:r>
      <w:r>
        <w:tab/>
      </w:r>
      <w:r>
        <w:sym w:font="Symbol" w:char="F0B7"/>
      </w:r>
      <w:r>
        <w:tab/>
        <w:t xml:space="preserve">100% of the scheduled calibration tests should be conducted on reference oil </w:t>
      </w:r>
      <w:r w:rsidR="00E463E4">
        <w:t>PC11A</w:t>
      </w:r>
      <w:r>
        <w:t xml:space="preserve"> or subsequent approved reblends.</w:t>
      </w:r>
    </w:p>
    <w:p w:rsidR="00194A51" w:rsidRDefault="00194A51" w:rsidP="00194A51">
      <w:pPr>
        <w:tabs>
          <w:tab w:val="left" w:pos="0"/>
          <w:tab w:val="left" w:pos="360"/>
          <w:tab w:val="left" w:pos="720"/>
          <w:tab w:val="left" w:pos="1080"/>
          <w:tab w:val="left" w:pos="1440"/>
          <w:tab w:val="left" w:pos="1800"/>
          <w:tab w:val="left" w:pos="2160"/>
        </w:tabs>
        <w:ind w:left="1440" w:hanging="1440"/>
        <w:jc w:val="both"/>
      </w:pPr>
    </w:p>
    <w:p w:rsidR="00194A51" w:rsidRDefault="00194A51" w:rsidP="00194A51">
      <w:pPr>
        <w:tabs>
          <w:tab w:val="left" w:pos="0"/>
          <w:tab w:val="left" w:pos="360"/>
          <w:tab w:val="left" w:pos="720"/>
          <w:tab w:val="left" w:pos="1080"/>
          <w:tab w:val="left" w:pos="1440"/>
          <w:tab w:val="left" w:pos="1800"/>
          <w:tab w:val="left" w:pos="2160"/>
        </w:tabs>
        <w:ind w:left="1440" w:hanging="1440"/>
        <w:jc w:val="both"/>
      </w:pPr>
      <w:r>
        <w:tab/>
      </w:r>
      <w:r>
        <w:tab/>
        <w:t>4.</w:t>
      </w:r>
      <w:r>
        <w:tab/>
        <w:t>Control Charts</w:t>
      </w:r>
    </w:p>
    <w:p w:rsidR="00194A51" w:rsidRDefault="00194A51" w:rsidP="00194A51">
      <w:pPr>
        <w:tabs>
          <w:tab w:val="left" w:pos="0"/>
          <w:tab w:val="left" w:pos="360"/>
          <w:tab w:val="left" w:pos="720"/>
          <w:tab w:val="left" w:pos="1080"/>
          <w:tab w:val="left" w:pos="1440"/>
          <w:tab w:val="left" w:pos="1800"/>
          <w:tab w:val="left" w:pos="2160"/>
        </w:tabs>
        <w:ind w:left="1440" w:hanging="1440"/>
        <w:jc w:val="both"/>
      </w:pPr>
    </w:p>
    <w:p w:rsidR="00194A51" w:rsidRDefault="00194A51" w:rsidP="00194A51">
      <w:pPr>
        <w:tabs>
          <w:tab w:val="left" w:pos="0"/>
          <w:tab w:val="left" w:pos="360"/>
          <w:tab w:val="left" w:pos="720"/>
          <w:tab w:val="left" w:pos="1080"/>
          <w:tab w:val="left" w:pos="1440"/>
          <w:tab w:val="left" w:pos="1800"/>
          <w:tab w:val="left" w:pos="2160"/>
        </w:tabs>
        <w:ind w:left="1080" w:hanging="1080"/>
        <w:jc w:val="both"/>
      </w:pPr>
      <w:r>
        <w:tab/>
      </w:r>
      <w:r>
        <w:tab/>
      </w:r>
      <w:r>
        <w:tab/>
        <w:t xml:space="preserve">In Section 1, the construction of the control charts that constitute the Lubricant Test Monitoring System is outlined.  </w:t>
      </w:r>
      <w:r w:rsidR="00C70D0D">
        <w:t>For the T-13, Z</w:t>
      </w:r>
      <w:r w:rsidR="00C70D0D">
        <w:rPr>
          <w:vertAlign w:val="subscript"/>
        </w:rPr>
        <w:t>0</w:t>
      </w:r>
      <w:r w:rsidR="00C70D0D">
        <w:t xml:space="preserve">=Mean </w:t>
      </w:r>
      <w:proofErr w:type="gramStart"/>
      <w:r w:rsidR="00C70D0D">
        <w:t>Y</w:t>
      </w:r>
      <w:r w:rsidR="00C70D0D">
        <w:rPr>
          <w:vertAlign w:val="subscript"/>
        </w:rPr>
        <w:t xml:space="preserve">i </w:t>
      </w:r>
      <w:r w:rsidR="00C70D0D">
        <w:t xml:space="preserve"> of</w:t>
      </w:r>
      <w:proofErr w:type="gramEnd"/>
      <w:r w:rsidR="00C70D0D">
        <w:t xml:space="preserve"> first two tests acceptable for Shewhart severity plus all operationally valid tests in between. </w:t>
      </w:r>
      <w:r>
        <w:t xml:space="preserve">The constants used for the construction of the control charts for the </w:t>
      </w:r>
      <w:r w:rsidR="00C70D0D">
        <w:t>T-13</w:t>
      </w:r>
      <w:r>
        <w:t>, and the response necessary in the case of control chart limit alarms, are depicted below.  Note that control charting all parameters is required.</w:t>
      </w:r>
    </w:p>
    <w:p w:rsidR="00194A51" w:rsidRDefault="00194A51" w:rsidP="00194A51">
      <w:pPr>
        <w:tabs>
          <w:tab w:val="left" w:pos="0"/>
          <w:tab w:val="left" w:pos="360"/>
          <w:tab w:val="left" w:pos="720"/>
          <w:tab w:val="left" w:pos="1080"/>
          <w:tab w:val="left" w:pos="1440"/>
          <w:tab w:val="left" w:pos="1800"/>
          <w:tab w:val="left" w:pos="2160"/>
        </w:tabs>
        <w:ind w:left="1080" w:hanging="1080"/>
        <w:jc w:val="both"/>
      </w:pPr>
    </w:p>
    <w:p w:rsidR="00194A51" w:rsidRDefault="00194A51" w:rsidP="00194A51">
      <w:pPr>
        <w:tabs>
          <w:tab w:val="left" w:pos="0"/>
          <w:tab w:val="left" w:pos="360"/>
          <w:tab w:val="left" w:pos="720"/>
          <w:tab w:val="left" w:pos="1080"/>
          <w:tab w:val="left" w:pos="1440"/>
          <w:tab w:val="left" w:pos="1800"/>
          <w:tab w:val="left" w:pos="2160"/>
        </w:tabs>
        <w:ind w:left="1080" w:hanging="1080"/>
        <w:jc w:val="center"/>
      </w:pPr>
      <w:r>
        <w:t>LUBRICANT TEST MONITORING SYSTEM CONSTANTS</w:t>
      </w:r>
    </w:p>
    <w:p w:rsidR="00194A51" w:rsidRDefault="00194A51" w:rsidP="00194A51">
      <w:pPr>
        <w:tabs>
          <w:tab w:val="left" w:pos="0"/>
          <w:tab w:val="left" w:pos="360"/>
          <w:tab w:val="left" w:pos="720"/>
          <w:tab w:val="left" w:pos="1080"/>
          <w:tab w:val="left" w:pos="1440"/>
          <w:tab w:val="left" w:pos="1800"/>
          <w:tab w:val="left" w:pos="2160"/>
        </w:tabs>
        <w:ind w:left="1080" w:hanging="1080"/>
        <w:jc w:val="cente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260"/>
        <w:gridCol w:w="1171"/>
        <w:gridCol w:w="1155"/>
        <w:gridCol w:w="1155"/>
        <w:gridCol w:w="1155"/>
        <w:gridCol w:w="1035"/>
        <w:gridCol w:w="1215"/>
        <w:gridCol w:w="1215"/>
      </w:tblGrid>
      <w:tr w:rsidR="00194A51" w:rsidTr="003E2D07">
        <w:trPr>
          <w:jc w:val="center"/>
        </w:trPr>
        <w:tc>
          <w:tcPr>
            <w:tcW w:w="2431" w:type="dxa"/>
            <w:gridSpan w:val="2"/>
          </w:tcPr>
          <w:p w:rsidR="00194A51" w:rsidRDefault="00194A51" w:rsidP="003E2D07">
            <w:pPr>
              <w:jc w:val="center"/>
            </w:pPr>
          </w:p>
        </w:tc>
        <w:tc>
          <w:tcPr>
            <w:tcW w:w="4500" w:type="dxa"/>
            <w:gridSpan w:val="4"/>
          </w:tcPr>
          <w:p w:rsidR="00194A51" w:rsidRDefault="00194A51" w:rsidP="003E2D07">
            <w:pPr>
              <w:jc w:val="center"/>
            </w:pPr>
            <w:r>
              <w:t>EWMA Chart</w:t>
            </w:r>
          </w:p>
        </w:tc>
        <w:tc>
          <w:tcPr>
            <w:tcW w:w="2430" w:type="dxa"/>
            <w:gridSpan w:val="2"/>
          </w:tcPr>
          <w:p w:rsidR="00194A51" w:rsidRDefault="00194A51" w:rsidP="003E2D07">
            <w:pPr>
              <w:jc w:val="center"/>
            </w:pPr>
            <w:r>
              <w:t>Shewhart Chart</w:t>
            </w:r>
          </w:p>
        </w:tc>
      </w:tr>
      <w:tr w:rsidR="00194A51" w:rsidTr="003E2D07">
        <w:trPr>
          <w:jc w:val="center"/>
        </w:trPr>
        <w:tc>
          <w:tcPr>
            <w:tcW w:w="2431" w:type="dxa"/>
            <w:gridSpan w:val="2"/>
          </w:tcPr>
          <w:p w:rsidR="00194A51" w:rsidRDefault="00194A51" w:rsidP="003E2D07">
            <w:pPr>
              <w:jc w:val="center"/>
            </w:pPr>
          </w:p>
        </w:tc>
        <w:tc>
          <w:tcPr>
            <w:tcW w:w="2310" w:type="dxa"/>
            <w:gridSpan w:val="2"/>
          </w:tcPr>
          <w:p w:rsidR="00194A51" w:rsidRDefault="00194A51" w:rsidP="003E2D07">
            <w:pPr>
              <w:jc w:val="center"/>
            </w:pPr>
            <w:r>
              <w:t>LAMBDA</w:t>
            </w:r>
          </w:p>
        </w:tc>
        <w:tc>
          <w:tcPr>
            <w:tcW w:w="2190" w:type="dxa"/>
            <w:gridSpan w:val="2"/>
          </w:tcPr>
          <w:p w:rsidR="00194A51" w:rsidRDefault="00194A51" w:rsidP="003E2D07">
            <w:pPr>
              <w:jc w:val="center"/>
            </w:pPr>
            <w:r>
              <w:t>K</w:t>
            </w:r>
          </w:p>
        </w:tc>
        <w:tc>
          <w:tcPr>
            <w:tcW w:w="2430" w:type="dxa"/>
            <w:gridSpan w:val="2"/>
          </w:tcPr>
          <w:p w:rsidR="00194A51" w:rsidRDefault="00194A51" w:rsidP="003E2D07">
            <w:pPr>
              <w:jc w:val="center"/>
            </w:pPr>
            <w:r>
              <w:t>K</w:t>
            </w:r>
          </w:p>
        </w:tc>
      </w:tr>
      <w:tr w:rsidR="00194A51" w:rsidTr="003E2D07">
        <w:trPr>
          <w:jc w:val="center"/>
        </w:trPr>
        <w:tc>
          <w:tcPr>
            <w:tcW w:w="1260" w:type="dxa"/>
            <w:tcBorders>
              <w:bottom w:val="double" w:sz="4" w:space="0" w:color="auto"/>
            </w:tcBorders>
          </w:tcPr>
          <w:p w:rsidR="00194A51" w:rsidRDefault="00194A51" w:rsidP="003E2D07">
            <w:pPr>
              <w:jc w:val="center"/>
            </w:pPr>
            <w:r>
              <w:t>Chart Level</w:t>
            </w:r>
          </w:p>
        </w:tc>
        <w:tc>
          <w:tcPr>
            <w:tcW w:w="1171" w:type="dxa"/>
            <w:tcBorders>
              <w:bottom w:val="double" w:sz="4" w:space="0" w:color="auto"/>
            </w:tcBorders>
          </w:tcPr>
          <w:p w:rsidR="00194A51" w:rsidRDefault="00194A51" w:rsidP="003E2D07">
            <w:pPr>
              <w:jc w:val="center"/>
            </w:pPr>
            <w:r>
              <w:t>Limit Type</w:t>
            </w:r>
          </w:p>
        </w:tc>
        <w:tc>
          <w:tcPr>
            <w:tcW w:w="1155" w:type="dxa"/>
            <w:tcBorders>
              <w:bottom w:val="double" w:sz="4" w:space="0" w:color="auto"/>
            </w:tcBorders>
          </w:tcPr>
          <w:p w:rsidR="00194A51" w:rsidRDefault="00194A51" w:rsidP="003E2D07">
            <w:pPr>
              <w:jc w:val="center"/>
            </w:pPr>
            <w:r>
              <w:t>Precision</w:t>
            </w:r>
          </w:p>
        </w:tc>
        <w:tc>
          <w:tcPr>
            <w:tcW w:w="1155" w:type="dxa"/>
            <w:tcBorders>
              <w:bottom w:val="double" w:sz="4" w:space="0" w:color="auto"/>
            </w:tcBorders>
          </w:tcPr>
          <w:p w:rsidR="00194A51" w:rsidRDefault="00194A51" w:rsidP="003E2D07">
            <w:pPr>
              <w:jc w:val="center"/>
            </w:pPr>
            <w:r>
              <w:t>Severity</w:t>
            </w:r>
          </w:p>
        </w:tc>
        <w:tc>
          <w:tcPr>
            <w:tcW w:w="1155" w:type="dxa"/>
            <w:tcBorders>
              <w:bottom w:val="double" w:sz="4" w:space="0" w:color="auto"/>
            </w:tcBorders>
          </w:tcPr>
          <w:p w:rsidR="00194A51" w:rsidRDefault="00194A51" w:rsidP="003E2D07">
            <w:pPr>
              <w:jc w:val="center"/>
            </w:pPr>
            <w:r>
              <w:t>Precision</w:t>
            </w:r>
          </w:p>
        </w:tc>
        <w:tc>
          <w:tcPr>
            <w:tcW w:w="1035" w:type="dxa"/>
            <w:tcBorders>
              <w:bottom w:val="double" w:sz="4" w:space="0" w:color="auto"/>
            </w:tcBorders>
          </w:tcPr>
          <w:p w:rsidR="00194A51" w:rsidRDefault="00194A51" w:rsidP="003E2D07">
            <w:pPr>
              <w:jc w:val="center"/>
            </w:pPr>
            <w:r>
              <w:t>Severity</w:t>
            </w:r>
          </w:p>
        </w:tc>
        <w:tc>
          <w:tcPr>
            <w:tcW w:w="1215" w:type="dxa"/>
            <w:tcBorders>
              <w:bottom w:val="double" w:sz="4" w:space="0" w:color="auto"/>
            </w:tcBorders>
          </w:tcPr>
          <w:p w:rsidR="00194A51" w:rsidRDefault="00194A51" w:rsidP="003E2D07">
            <w:pPr>
              <w:jc w:val="center"/>
            </w:pPr>
            <w:r>
              <w:t>Precision</w:t>
            </w:r>
          </w:p>
        </w:tc>
        <w:tc>
          <w:tcPr>
            <w:tcW w:w="1215" w:type="dxa"/>
            <w:tcBorders>
              <w:bottom w:val="double" w:sz="4" w:space="0" w:color="auto"/>
            </w:tcBorders>
          </w:tcPr>
          <w:p w:rsidR="00194A51" w:rsidRDefault="00194A51" w:rsidP="003E2D07">
            <w:pPr>
              <w:jc w:val="center"/>
            </w:pPr>
            <w:r>
              <w:t>Severity</w:t>
            </w:r>
          </w:p>
        </w:tc>
      </w:tr>
      <w:tr w:rsidR="00194A51" w:rsidTr="003E2D07">
        <w:trPr>
          <w:jc w:val="center"/>
        </w:trPr>
        <w:tc>
          <w:tcPr>
            <w:tcW w:w="1260" w:type="dxa"/>
            <w:tcBorders>
              <w:top w:val="double" w:sz="4" w:space="0" w:color="auto"/>
              <w:bottom w:val="nil"/>
            </w:tcBorders>
          </w:tcPr>
          <w:p w:rsidR="00194A51" w:rsidRDefault="00194A51" w:rsidP="003E2D07">
            <w:pPr>
              <w:jc w:val="center"/>
            </w:pPr>
            <w:r>
              <w:t>Stand</w:t>
            </w:r>
          </w:p>
        </w:tc>
        <w:tc>
          <w:tcPr>
            <w:tcW w:w="1171" w:type="dxa"/>
            <w:tcBorders>
              <w:top w:val="double" w:sz="4" w:space="0" w:color="auto"/>
            </w:tcBorders>
          </w:tcPr>
          <w:p w:rsidR="00194A51" w:rsidRDefault="00194A51" w:rsidP="003E2D07">
            <w:pPr>
              <w:jc w:val="center"/>
            </w:pPr>
            <w:r>
              <w:t>Reduced K</w:t>
            </w:r>
          </w:p>
        </w:tc>
        <w:tc>
          <w:tcPr>
            <w:tcW w:w="1155" w:type="dxa"/>
            <w:tcBorders>
              <w:top w:val="double" w:sz="4" w:space="0" w:color="auto"/>
            </w:tcBorders>
          </w:tcPr>
          <w:p w:rsidR="00194A51" w:rsidRDefault="00194A51" w:rsidP="003E2D07">
            <w:pPr>
              <w:jc w:val="center"/>
            </w:pPr>
            <w:r>
              <w:t>--</w:t>
            </w:r>
          </w:p>
        </w:tc>
        <w:tc>
          <w:tcPr>
            <w:tcW w:w="1155" w:type="dxa"/>
            <w:tcBorders>
              <w:top w:val="double" w:sz="4" w:space="0" w:color="auto"/>
            </w:tcBorders>
          </w:tcPr>
          <w:p w:rsidR="00194A51" w:rsidRDefault="00194A51" w:rsidP="003E2D07">
            <w:pPr>
              <w:jc w:val="center"/>
            </w:pPr>
            <w:r>
              <w:t>--</w:t>
            </w:r>
          </w:p>
        </w:tc>
        <w:tc>
          <w:tcPr>
            <w:tcW w:w="1155" w:type="dxa"/>
            <w:tcBorders>
              <w:top w:val="double" w:sz="4" w:space="0" w:color="auto"/>
            </w:tcBorders>
          </w:tcPr>
          <w:p w:rsidR="00194A51" w:rsidRDefault="00194A51" w:rsidP="003E2D07">
            <w:pPr>
              <w:jc w:val="center"/>
            </w:pPr>
            <w:r>
              <w:t>--</w:t>
            </w:r>
          </w:p>
        </w:tc>
        <w:tc>
          <w:tcPr>
            <w:tcW w:w="1035" w:type="dxa"/>
            <w:tcBorders>
              <w:top w:val="double" w:sz="4" w:space="0" w:color="auto"/>
            </w:tcBorders>
          </w:tcPr>
          <w:p w:rsidR="00194A51" w:rsidRDefault="00194A51" w:rsidP="003E2D07">
            <w:pPr>
              <w:jc w:val="center"/>
            </w:pPr>
            <w:r>
              <w:t>--</w:t>
            </w:r>
          </w:p>
        </w:tc>
        <w:tc>
          <w:tcPr>
            <w:tcW w:w="1215" w:type="dxa"/>
            <w:tcBorders>
              <w:top w:val="double" w:sz="4" w:space="0" w:color="auto"/>
            </w:tcBorders>
          </w:tcPr>
          <w:p w:rsidR="00194A51" w:rsidRDefault="00194A51" w:rsidP="003E2D07">
            <w:pPr>
              <w:jc w:val="center"/>
            </w:pPr>
            <w:r>
              <w:t>1.48</w:t>
            </w:r>
          </w:p>
        </w:tc>
        <w:tc>
          <w:tcPr>
            <w:tcW w:w="1215" w:type="dxa"/>
            <w:tcBorders>
              <w:top w:val="double" w:sz="4" w:space="0" w:color="auto"/>
            </w:tcBorders>
          </w:tcPr>
          <w:p w:rsidR="00194A51" w:rsidRDefault="00E463E4" w:rsidP="003E2D07">
            <w:pPr>
              <w:jc w:val="center"/>
            </w:pPr>
            <w:r>
              <w:t>1.44</w:t>
            </w:r>
          </w:p>
        </w:tc>
        <w:bookmarkStart w:id="0" w:name="_GoBack"/>
        <w:bookmarkEnd w:id="0"/>
      </w:tr>
      <w:tr w:rsidR="00194A51" w:rsidTr="003E2D07">
        <w:trPr>
          <w:jc w:val="center"/>
        </w:trPr>
        <w:tc>
          <w:tcPr>
            <w:tcW w:w="1260" w:type="dxa"/>
            <w:tcBorders>
              <w:top w:val="nil"/>
              <w:bottom w:val="nil"/>
            </w:tcBorders>
          </w:tcPr>
          <w:p w:rsidR="00194A51" w:rsidRDefault="00194A51" w:rsidP="003E2D07">
            <w:pPr>
              <w:jc w:val="center"/>
            </w:pPr>
          </w:p>
        </w:tc>
        <w:tc>
          <w:tcPr>
            <w:tcW w:w="1171" w:type="dxa"/>
          </w:tcPr>
          <w:p w:rsidR="00194A51" w:rsidRDefault="00194A51" w:rsidP="003E2D07">
            <w:pPr>
              <w:jc w:val="center"/>
            </w:pPr>
            <w:r>
              <w:t>Action</w:t>
            </w:r>
          </w:p>
        </w:tc>
        <w:tc>
          <w:tcPr>
            <w:tcW w:w="1155" w:type="dxa"/>
          </w:tcPr>
          <w:p w:rsidR="00194A51" w:rsidRDefault="00194A51" w:rsidP="003E2D07">
            <w:pPr>
              <w:jc w:val="center"/>
            </w:pPr>
            <w:r>
              <w:t>0.3</w:t>
            </w:r>
          </w:p>
        </w:tc>
        <w:tc>
          <w:tcPr>
            <w:tcW w:w="1155" w:type="dxa"/>
          </w:tcPr>
          <w:p w:rsidR="00194A51" w:rsidRDefault="00194A51" w:rsidP="003E2D07">
            <w:pPr>
              <w:jc w:val="center"/>
            </w:pPr>
            <w:r>
              <w:t>0.3</w:t>
            </w:r>
          </w:p>
        </w:tc>
        <w:tc>
          <w:tcPr>
            <w:tcW w:w="1155" w:type="dxa"/>
          </w:tcPr>
          <w:p w:rsidR="00194A51" w:rsidRDefault="00194A51" w:rsidP="003E2D07">
            <w:pPr>
              <w:jc w:val="center"/>
            </w:pPr>
            <w:r>
              <w:t>1.74</w:t>
            </w:r>
          </w:p>
        </w:tc>
        <w:tc>
          <w:tcPr>
            <w:tcW w:w="1035" w:type="dxa"/>
          </w:tcPr>
          <w:p w:rsidR="00194A51" w:rsidRDefault="00194A51" w:rsidP="003E2D07">
            <w:pPr>
              <w:jc w:val="center"/>
            </w:pPr>
            <w:r>
              <w:t>2.05</w:t>
            </w:r>
          </w:p>
        </w:tc>
        <w:tc>
          <w:tcPr>
            <w:tcW w:w="1215" w:type="dxa"/>
          </w:tcPr>
          <w:p w:rsidR="00194A51" w:rsidRDefault="00194A51" w:rsidP="003E2D07">
            <w:pPr>
              <w:jc w:val="center"/>
            </w:pPr>
            <w:r>
              <w:t>1.74</w:t>
            </w:r>
          </w:p>
        </w:tc>
        <w:tc>
          <w:tcPr>
            <w:tcW w:w="1215" w:type="dxa"/>
          </w:tcPr>
          <w:p w:rsidR="00194A51" w:rsidRDefault="00194A51" w:rsidP="003E2D07">
            <w:pPr>
              <w:jc w:val="center"/>
            </w:pPr>
            <w:r>
              <w:t>2.00</w:t>
            </w:r>
          </w:p>
        </w:tc>
      </w:tr>
      <w:tr w:rsidR="00194A51" w:rsidTr="003E2D07">
        <w:trPr>
          <w:jc w:val="center"/>
        </w:trPr>
        <w:tc>
          <w:tcPr>
            <w:tcW w:w="1260" w:type="dxa"/>
            <w:tcBorders>
              <w:bottom w:val="nil"/>
            </w:tcBorders>
          </w:tcPr>
          <w:p w:rsidR="00194A51" w:rsidRDefault="00194A51" w:rsidP="003E2D07">
            <w:pPr>
              <w:jc w:val="center"/>
            </w:pPr>
            <w:r>
              <w:t>Lab</w:t>
            </w:r>
          </w:p>
        </w:tc>
        <w:tc>
          <w:tcPr>
            <w:tcW w:w="1171" w:type="dxa"/>
          </w:tcPr>
          <w:p w:rsidR="00194A51" w:rsidRDefault="00194A51" w:rsidP="003E2D07">
            <w:pPr>
              <w:jc w:val="center"/>
            </w:pPr>
            <w:r>
              <w:t>Warning</w:t>
            </w:r>
          </w:p>
        </w:tc>
        <w:tc>
          <w:tcPr>
            <w:tcW w:w="1155" w:type="dxa"/>
          </w:tcPr>
          <w:p w:rsidR="00194A51" w:rsidRDefault="00194A51" w:rsidP="003E2D07">
            <w:pPr>
              <w:jc w:val="center"/>
            </w:pPr>
            <w:r>
              <w:t>0.2</w:t>
            </w:r>
          </w:p>
        </w:tc>
        <w:tc>
          <w:tcPr>
            <w:tcW w:w="1155" w:type="dxa"/>
          </w:tcPr>
          <w:p w:rsidR="00194A51" w:rsidRDefault="00194A51" w:rsidP="003E2D07">
            <w:pPr>
              <w:jc w:val="center"/>
            </w:pPr>
            <w:r>
              <w:t>--</w:t>
            </w:r>
          </w:p>
        </w:tc>
        <w:tc>
          <w:tcPr>
            <w:tcW w:w="1155" w:type="dxa"/>
          </w:tcPr>
          <w:p w:rsidR="00194A51" w:rsidRDefault="00194A51" w:rsidP="003E2D07">
            <w:pPr>
              <w:jc w:val="center"/>
            </w:pPr>
            <w:r>
              <w:t>1.74</w:t>
            </w:r>
          </w:p>
        </w:tc>
        <w:tc>
          <w:tcPr>
            <w:tcW w:w="1035" w:type="dxa"/>
          </w:tcPr>
          <w:p w:rsidR="00194A51" w:rsidRDefault="00194A51" w:rsidP="003E2D07">
            <w:pPr>
              <w:jc w:val="center"/>
            </w:pPr>
            <w:r>
              <w:t>--</w:t>
            </w:r>
          </w:p>
        </w:tc>
        <w:tc>
          <w:tcPr>
            <w:tcW w:w="1215" w:type="dxa"/>
          </w:tcPr>
          <w:p w:rsidR="00194A51" w:rsidRDefault="00194A51" w:rsidP="003E2D07">
            <w:pPr>
              <w:jc w:val="center"/>
            </w:pPr>
            <w:r>
              <w:t>--</w:t>
            </w:r>
          </w:p>
        </w:tc>
        <w:tc>
          <w:tcPr>
            <w:tcW w:w="1215" w:type="dxa"/>
          </w:tcPr>
          <w:p w:rsidR="00194A51" w:rsidRDefault="00194A51" w:rsidP="003E2D07">
            <w:pPr>
              <w:jc w:val="center"/>
            </w:pPr>
            <w:r>
              <w:t>--</w:t>
            </w:r>
          </w:p>
        </w:tc>
      </w:tr>
      <w:tr w:rsidR="00194A51" w:rsidTr="003E2D07">
        <w:trPr>
          <w:jc w:val="center"/>
        </w:trPr>
        <w:tc>
          <w:tcPr>
            <w:tcW w:w="1260" w:type="dxa"/>
            <w:tcBorders>
              <w:top w:val="nil"/>
              <w:bottom w:val="nil"/>
            </w:tcBorders>
          </w:tcPr>
          <w:p w:rsidR="00194A51" w:rsidRDefault="00194A51" w:rsidP="003E2D07">
            <w:pPr>
              <w:jc w:val="center"/>
            </w:pPr>
          </w:p>
        </w:tc>
        <w:tc>
          <w:tcPr>
            <w:tcW w:w="1171" w:type="dxa"/>
          </w:tcPr>
          <w:p w:rsidR="00194A51" w:rsidRDefault="00194A51" w:rsidP="003E2D07">
            <w:pPr>
              <w:jc w:val="center"/>
            </w:pPr>
            <w:r>
              <w:t>Action</w:t>
            </w:r>
          </w:p>
        </w:tc>
        <w:tc>
          <w:tcPr>
            <w:tcW w:w="1155" w:type="dxa"/>
          </w:tcPr>
          <w:p w:rsidR="00194A51" w:rsidRDefault="00194A51" w:rsidP="003E2D07">
            <w:pPr>
              <w:jc w:val="center"/>
            </w:pPr>
            <w:r>
              <w:t>0.2</w:t>
            </w:r>
          </w:p>
        </w:tc>
        <w:tc>
          <w:tcPr>
            <w:tcW w:w="1155" w:type="dxa"/>
          </w:tcPr>
          <w:p w:rsidR="00194A51" w:rsidRDefault="00194A51" w:rsidP="003E2D07">
            <w:pPr>
              <w:jc w:val="center"/>
            </w:pPr>
            <w:r>
              <w:t>0.2</w:t>
            </w:r>
          </w:p>
        </w:tc>
        <w:tc>
          <w:tcPr>
            <w:tcW w:w="1155" w:type="dxa"/>
          </w:tcPr>
          <w:p w:rsidR="00194A51" w:rsidRDefault="00194A51" w:rsidP="003E2D07">
            <w:pPr>
              <w:jc w:val="center"/>
            </w:pPr>
            <w:r>
              <w:t>2.58</w:t>
            </w:r>
          </w:p>
        </w:tc>
        <w:tc>
          <w:tcPr>
            <w:tcW w:w="1035" w:type="dxa"/>
          </w:tcPr>
          <w:p w:rsidR="00194A51" w:rsidRDefault="00977E6E" w:rsidP="003E2D07">
            <w:pPr>
              <w:jc w:val="center"/>
            </w:pPr>
            <w:r>
              <w:t>0</w:t>
            </w:r>
          </w:p>
        </w:tc>
        <w:tc>
          <w:tcPr>
            <w:tcW w:w="1215" w:type="dxa"/>
          </w:tcPr>
          <w:p w:rsidR="00194A51" w:rsidRDefault="00194A51" w:rsidP="003E2D07">
            <w:pPr>
              <w:jc w:val="center"/>
            </w:pPr>
            <w:r>
              <w:t>1.74</w:t>
            </w:r>
          </w:p>
        </w:tc>
        <w:tc>
          <w:tcPr>
            <w:tcW w:w="1215" w:type="dxa"/>
          </w:tcPr>
          <w:p w:rsidR="00194A51" w:rsidRDefault="00194A51" w:rsidP="003E2D07">
            <w:pPr>
              <w:jc w:val="center"/>
            </w:pPr>
            <w:r>
              <w:t>2.00</w:t>
            </w:r>
          </w:p>
        </w:tc>
      </w:tr>
      <w:tr w:rsidR="00194A51" w:rsidTr="003E2D07">
        <w:trPr>
          <w:jc w:val="center"/>
        </w:trPr>
        <w:tc>
          <w:tcPr>
            <w:tcW w:w="1260" w:type="dxa"/>
            <w:tcBorders>
              <w:bottom w:val="nil"/>
            </w:tcBorders>
          </w:tcPr>
          <w:p w:rsidR="00194A51" w:rsidRDefault="00194A51" w:rsidP="003E2D07">
            <w:pPr>
              <w:jc w:val="center"/>
            </w:pPr>
            <w:r>
              <w:t>Industry</w:t>
            </w:r>
          </w:p>
        </w:tc>
        <w:tc>
          <w:tcPr>
            <w:tcW w:w="1171" w:type="dxa"/>
          </w:tcPr>
          <w:p w:rsidR="00194A51" w:rsidRDefault="00194A51" w:rsidP="003E2D07">
            <w:pPr>
              <w:jc w:val="center"/>
            </w:pPr>
            <w:r>
              <w:t>Warning</w:t>
            </w:r>
          </w:p>
        </w:tc>
        <w:tc>
          <w:tcPr>
            <w:tcW w:w="1155" w:type="dxa"/>
          </w:tcPr>
          <w:p w:rsidR="00194A51" w:rsidRDefault="00194A51" w:rsidP="003E2D07">
            <w:pPr>
              <w:jc w:val="center"/>
            </w:pPr>
            <w:r>
              <w:t>0.2</w:t>
            </w:r>
          </w:p>
        </w:tc>
        <w:tc>
          <w:tcPr>
            <w:tcW w:w="1155" w:type="dxa"/>
          </w:tcPr>
          <w:p w:rsidR="00194A51" w:rsidRDefault="00194A51" w:rsidP="003E2D07">
            <w:pPr>
              <w:jc w:val="center"/>
            </w:pPr>
            <w:r>
              <w:t>0.2</w:t>
            </w:r>
          </w:p>
        </w:tc>
        <w:tc>
          <w:tcPr>
            <w:tcW w:w="1155" w:type="dxa"/>
          </w:tcPr>
          <w:p w:rsidR="00194A51" w:rsidRDefault="00194A51" w:rsidP="003E2D07">
            <w:pPr>
              <w:jc w:val="center"/>
            </w:pPr>
            <w:r>
              <w:t>1.74</w:t>
            </w:r>
          </w:p>
        </w:tc>
        <w:tc>
          <w:tcPr>
            <w:tcW w:w="1035" w:type="dxa"/>
          </w:tcPr>
          <w:p w:rsidR="00194A51" w:rsidRDefault="00194A51" w:rsidP="003E2D07">
            <w:pPr>
              <w:jc w:val="center"/>
            </w:pPr>
            <w:r>
              <w:t>2.05</w:t>
            </w:r>
          </w:p>
        </w:tc>
        <w:tc>
          <w:tcPr>
            <w:tcW w:w="1215" w:type="dxa"/>
          </w:tcPr>
          <w:p w:rsidR="00194A51" w:rsidRDefault="00194A51" w:rsidP="003E2D07">
            <w:pPr>
              <w:jc w:val="center"/>
            </w:pPr>
            <w:r>
              <w:t>--</w:t>
            </w:r>
          </w:p>
        </w:tc>
        <w:tc>
          <w:tcPr>
            <w:tcW w:w="1215" w:type="dxa"/>
          </w:tcPr>
          <w:p w:rsidR="00194A51" w:rsidRDefault="00194A51" w:rsidP="003E2D07">
            <w:pPr>
              <w:jc w:val="center"/>
            </w:pPr>
            <w:r>
              <w:t>--</w:t>
            </w:r>
          </w:p>
        </w:tc>
      </w:tr>
      <w:tr w:rsidR="00194A51" w:rsidTr="003E2D07">
        <w:trPr>
          <w:jc w:val="center"/>
        </w:trPr>
        <w:tc>
          <w:tcPr>
            <w:tcW w:w="1260" w:type="dxa"/>
            <w:tcBorders>
              <w:top w:val="nil"/>
            </w:tcBorders>
          </w:tcPr>
          <w:p w:rsidR="00194A51" w:rsidRDefault="00194A51" w:rsidP="003E2D07">
            <w:pPr>
              <w:jc w:val="center"/>
            </w:pPr>
          </w:p>
        </w:tc>
        <w:tc>
          <w:tcPr>
            <w:tcW w:w="1171" w:type="dxa"/>
          </w:tcPr>
          <w:p w:rsidR="00194A51" w:rsidRDefault="00194A51" w:rsidP="003E2D07">
            <w:pPr>
              <w:jc w:val="center"/>
            </w:pPr>
            <w:r>
              <w:t>Action</w:t>
            </w:r>
          </w:p>
        </w:tc>
        <w:tc>
          <w:tcPr>
            <w:tcW w:w="1155" w:type="dxa"/>
          </w:tcPr>
          <w:p w:rsidR="00194A51" w:rsidRDefault="00194A51" w:rsidP="003E2D07">
            <w:pPr>
              <w:jc w:val="center"/>
            </w:pPr>
            <w:r>
              <w:t>0.2</w:t>
            </w:r>
          </w:p>
        </w:tc>
        <w:tc>
          <w:tcPr>
            <w:tcW w:w="1155" w:type="dxa"/>
          </w:tcPr>
          <w:p w:rsidR="00194A51" w:rsidRDefault="00194A51" w:rsidP="003E2D07">
            <w:pPr>
              <w:jc w:val="center"/>
            </w:pPr>
            <w:r>
              <w:t>0.2</w:t>
            </w:r>
          </w:p>
        </w:tc>
        <w:tc>
          <w:tcPr>
            <w:tcW w:w="1155" w:type="dxa"/>
          </w:tcPr>
          <w:p w:rsidR="00194A51" w:rsidRDefault="00194A51" w:rsidP="003E2D07">
            <w:pPr>
              <w:jc w:val="center"/>
            </w:pPr>
            <w:r>
              <w:t>2.58</w:t>
            </w:r>
          </w:p>
        </w:tc>
        <w:tc>
          <w:tcPr>
            <w:tcW w:w="1035" w:type="dxa"/>
          </w:tcPr>
          <w:p w:rsidR="00194A51" w:rsidRDefault="00194A51" w:rsidP="003E2D07">
            <w:pPr>
              <w:jc w:val="center"/>
            </w:pPr>
            <w:r>
              <w:t>2.81</w:t>
            </w:r>
          </w:p>
        </w:tc>
        <w:tc>
          <w:tcPr>
            <w:tcW w:w="1215" w:type="dxa"/>
          </w:tcPr>
          <w:p w:rsidR="00194A51" w:rsidRDefault="00194A51" w:rsidP="003E2D07">
            <w:pPr>
              <w:jc w:val="center"/>
            </w:pPr>
            <w:r>
              <w:t>--</w:t>
            </w:r>
          </w:p>
        </w:tc>
        <w:tc>
          <w:tcPr>
            <w:tcW w:w="1215" w:type="dxa"/>
          </w:tcPr>
          <w:p w:rsidR="00194A51" w:rsidRDefault="00194A51" w:rsidP="003E2D07">
            <w:pPr>
              <w:jc w:val="center"/>
            </w:pPr>
            <w:r>
              <w:t>--</w:t>
            </w:r>
          </w:p>
        </w:tc>
      </w:tr>
    </w:tbl>
    <w:p w:rsidR="00194A51" w:rsidRDefault="00194A51" w:rsidP="00194A51">
      <w:pPr>
        <w:tabs>
          <w:tab w:val="left" w:pos="0"/>
          <w:tab w:val="left" w:pos="360"/>
          <w:tab w:val="left" w:pos="720"/>
          <w:tab w:val="left" w:pos="1080"/>
          <w:tab w:val="left" w:pos="1440"/>
          <w:tab w:val="left" w:pos="1800"/>
          <w:tab w:val="left" w:pos="2160"/>
        </w:tabs>
        <w:ind w:left="1080" w:hanging="1080"/>
        <w:jc w:val="center"/>
      </w:pPr>
    </w:p>
    <w:p w:rsidR="00194A51" w:rsidRDefault="00194A51" w:rsidP="00194A51">
      <w:pPr>
        <w:tabs>
          <w:tab w:val="left" w:pos="0"/>
          <w:tab w:val="left" w:pos="360"/>
          <w:tab w:val="left" w:pos="720"/>
          <w:tab w:val="left" w:pos="1080"/>
          <w:tab w:val="left" w:pos="1440"/>
          <w:tab w:val="left" w:pos="1800"/>
          <w:tab w:val="left" w:pos="2160"/>
        </w:tabs>
        <w:ind w:left="1080" w:hanging="1080"/>
        <w:jc w:val="both"/>
      </w:pPr>
      <w:r>
        <w:tab/>
      </w:r>
      <w:r>
        <w:tab/>
      </w:r>
      <w:r>
        <w:tab/>
        <w:t>The following are the steps that must be taken in the case of exceeding control chart limits.  The steps are listed in order of priority, although charts should be studied simultaneously to determine the cause(s) of a problem.  In the case of multiple alarms, contact the TMC for guidance.</w:t>
      </w:r>
    </w:p>
    <w:p w:rsidR="00194A51" w:rsidRDefault="00194A51" w:rsidP="00194A51">
      <w:pPr>
        <w:tabs>
          <w:tab w:val="left" w:pos="0"/>
          <w:tab w:val="left" w:pos="360"/>
          <w:tab w:val="left" w:pos="720"/>
          <w:tab w:val="left" w:pos="1080"/>
          <w:tab w:val="left" w:pos="1440"/>
          <w:tab w:val="left" w:pos="1800"/>
          <w:tab w:val="left" w:pos="2160"/>
        </w:tabs>
        <w:ind w:left="1080" w:hanging="1080"/>
        <w:jc w:val="both"/>
      </w:pPr>
      <w:r>
        <w:tab/>
      </w:r>
      <w:r>
        <w:tab/>
      </w:r>
      <w:r>
        <w:tab/>
      </w:r>
      <w:r>
        <w:sym w:font="Symbol" w:char="F0B7"/>
      </w:r>
      <w:r>
        <w:tab/>
        <w:t>Exceed EWMA laboratory chart action limit for precision</w:t>
      </w:r>
    </w:p>
    <w:p w:rsidR="00194A51" w:rsidRDefault="00194A51" w:rsidP="00194A51">
      <w:pPr>
        <w:tabs>
          <w:tab w:val="left" w:pos="0"/>
          <w:tab w:val="left" w:pos="360"/>
          <w:tab w:val="left" w:pos="720"/>
          <w:tab w:val="left" w:pos="1080"/>
          <w:tab w:val="left" w:pos="1440"/>
          <w:tab w:val="left" w:pos="1800"/>
          <w:tab w:val="left" w:pos="2160"/>
        </w:tabs>
        <w:ind w:left="1080" w:hanging="1080"/>
        <w:jc w:val="both"/>
      </w:pPr>
    </w:p>
    <w:p w:rsidR="00194A51" w:rsidRDefault="00194A51" w:rsidP="00194A51">
      <w:pPr>
        <w:tabs>
          <w:tab w:val="left" w:pos="0"/>
          <w:tab w:val="left" w:pos="360"/>
          <w:tab w:val="left" w:pos="720"/>
          <w:tab w:val="left" w:pos="1080"/>
          <w:tab w:val="left" w:pos="1440"/>
          <w:tab w:val="left" w:pos="1800"/>
          <w:tab w:val="left" w:pos="2160"/>
        </w:tabs>
        <w:ind w:left="1800" w:hanging="1800"/>
        <w:jc w:val="both"/>
      </w:pPr>
      <w:r>
        <w:tab/>
      </w:r>
      <w:r>
        <w:tab/>
      </w:r>
      <w:r>
        <w:tab/>
      </w:r>
      <w:r>
        <w:tab/>
      </w:r>
      <w:r>
        <w:sym w:font="Symbol" w:char="F02D"/>
      </w:r>
      <w:r>
        <w:tab/>
        <w:t>Immediately provide written notice of the alarm and its meaning to all Test Purchasers and the TMC. This notice shall be appended to all test reports during the alarm period.</w:t>
      </w:r>
    </w:p>
    <w:p w:rsidR="00194A51" w:rsidRDefault="00194A51" w:rsidP="00194A51">
      <w:pPr>
        <w:tabs>
          <w:tab w:val="left" w:pos="0"/>
          <w:tab w:val="left" w:pos="360"/>
          <w:tab w:val="left" w:pos="720"/>
          <w:tab w:val="left" w:pos="1080"/>
          <w:tab w:val="left" w:pos="1440"/>
          <w:tab w:val="left" w:pos="1800"/>
          <w:tab w:val="left" w:pos="2160"/>
        </w:tabs>
        <w:ind w:left="1800" w:hanging="1800"/>
        <w:jc w:val="both"/>
      </w:pPr>
    </w:p>
    <w:p w:rsidR="00194A51" w:rsidRDefault="00194A51" w:rsidP="00194A51">
      <w:pPr>
        <w:tabs>
          <w:tab w:val="left" w:pos="0"/>
          <w:tab w:val="left" w:pos="360"/>
          <w:tab w:val="left" w:pos="720"/>
          <w:tab w:val="left" w:pos="1080"/>
          <w:tab w:val="left" w:pos="1440"/>
          <w:tab w:val="left" w:pos="1800"/>
          <w:tab w:val="left" w:pos="2160"/>
        </w:tabs>
        <w:ind w:left="1800" w:hanging="1800"/>
        <w:jc w:val="both"/>
      </w:pPr>
      <w:r>
        <w:tab/>
      </w:r>
      <w:r>
        <w:tab/>
      </w:r>
      <w:r>
        <w:tab/>
      </w:r>
      <w:r>
        <w:sym w:font="Symbol" w:char="F0B7"/>
      </w:r>
      <w:r>
        <w:tab/>
        <w:t>Exceed EWMA laboratory chart warning limit for precision</w:t>
      </w:r>
    </w:p>
    <w:p w:rsidR="00194A51" w:rsidRDefault="00194A51" w:rsidP="00194A51">
      <w:pPr>
        <w:tabs>
          <w:tab w:val="left" w:pos="0"/>
          <w:tab w:val="left" w:pos="360"/>
          <w:tab w:val="left" w:pos="720"/>
          <w:tab w:val="left" w:pos="1080"/>
          <w:tab w:val="left" w:pos="1440"/>
          <w:tab w:val="left" w:pos="1800"/>
          <w:tab w:val="left" w:pos="2160"/>
        </w:tabs>
        <w:ind w:left="1800" w:hanging="1800"/>
        <w:jc w:val="both"/>
      </w:pPr>
    </w:p>
    <w:p w:rsidR="00194A51" w:rsidRDefault="00194A51" w:rsidP="00194A51">
      <w:pPr>
        <w:tabs>
          <w:tab w:val="left" w:pos="0"/>
          <w:tab w:val="left" w:pos="360"/>
          <w:tab w:val="left" w:pos="720"/>
          <w:tab w:val="left" w:pos="1080"/>
          <w:tab w:val="left" w:pos="1440"/>
          <w:tab w:val="left" w:pos="1800"/>
          <w:tab w:val="left" w:pos="2160"/>
        </w:tabs>
        <w:ind w:left="1800" w:hanging="1800"/>
        <w:jc w:val="both"/>
      </w:pPr>
      <w:r>
        <w:tab/>
      </w:r>
      <w:r>
        <w:tab/>
      </w:r>
      <w:r>
        <w:tab/>
      </w:r>
      <w:r>
        <w:tab/>
      </w:r>
      <w:r>
        <w:sym w:font="Symbol" w:char="F02D"/>
      </w:r>
      <w:r>
        <w:tab/>
        <w:t>Immediately provide written notice of the alarm and its meaning to all Test Purchasers and the TMC. This notice shall be appended to all test reports during the alarm period.</w:t>
      </w:r>
    </w:p>
    <w:p w:rsidR="00194A51" w:rsidRDefault="00194A51" w:rsidP="00194A51">
      <w:pPr>
        <w:tabs>
          <w:tab w:val="left" w:pos="0"/>
          <w:tab w:val="left" w:pos="360"/>
          <w:tab w:val="left" w:pos="720"/>
          <w:tab w:val="left" w:pos="1080"/>
          <w:tab w:val="left" w:pos="1440"/>
          <w:tab w:val="left" w:pos="1800"/>
          <w:tab w:val="left" w:pos="2160"/>
        </w:tabs>
        <w:jc w:val="both"/>
      </w:pPr>
    </w:p>
    <w:p w:rsidR="00194A51" w:rsidRDefault="00194A51" w:rsidP="00194A51">
      <w:pPr>
        <w:tabs>
          <w:tab w:val="left" w:pos="0"/>
          <w:tab w:val="left" w:pos="360"/>
          <w:tab w:val="left" w:pos="720"/>
          <w:tab w:val="left" w:pos="1080"/>
          <w:tab w:val="left" w:pos="1440"/>
          <w:tab w:val="left" w:pos="1800"/>
          <w:tab w:val="left" w:pos="2160"/>
        </w:tabs>
        <w:spacing w:line="260" w:lineRule="exact"/>
        <w:jc w:val="both"/>
      </w:pPr>
      <w:r>
        <w:tab/>
      </w:r>
      <w:r>
        <w:tab/>
      </w:r>
      <w:r>
        <w:tab/>
      </w:r>
      <w:r>
        <w:sym w:font="Symbol" w:char="F0B7"/>
      </w:r>
      <w:r>
        <w:tab/>
        <w:t>Exceed EWMA test stand chart limit for precision</w:t>
      </w:r>
    </w:p>
    <w:p w:rsidR="00194A51" w:rsidRDefault="00194A51" w:rsidP="00194A51">
      <w:pPr>
        <w:tabs>
          <w:tab w:val="left" w:pos="0"/>
          <w:tab w:val="left" w:pos="360"/>
          <w:tab w:val="left" w:pos="720"/>
          <w:tab w:val="left" w:pos="1080"/>
          <w:tab w:val="left" w:pos="1440"/>
          <w:tab w:val="left" w:pos="1800"/>
          <w:tab w:val="left" w:pos="2160"/>
        </w:tabs>
        <w:spacing w:line="260" w:lineRule="exact"/>
        <w:ind w:left="1800" w:hanging="1800"/>
        <w:jc w:val="both"/>
      </w:pPr>
    </w:p>
    <w:p w:rsidR="00194A51" w:rsidRDefault="00194A51" w:rsidP="00194A51">
      <w:pPr>
        <w:numPr>
          <w:ilvl w:val="0"/>
          <w:numId w:val="2"/>
        </w:numPr>
        <w:tabs>
          <w:tab w:val="clear" w:pos="1440"/>
          <w:tab w:val="left" w:pos="0"/>
          <w:tab w:val="left" w:pos="360"/>
          <w:tab w:val="left" w:pos="720"/>
          <w:tab w:val="left" w:pos="1080"/>
          <w:tab w:val="num" w:pos="1800"/>
          <w:tab w:val="left" w:pos="2160"/>
        </w:tabs>
        <w:spacing w:line="260" w:lineRule="exact"/>
        <w:ind w:left="1800"/>
        <w:jc w:val="both"/>
      </w:pPr>
      <w:r>
        <w:t>Immediately provide written notice of the alarm and its meaning to all Test Purchasers and the TMC. This notice shall be appended to all test reports for the stand in question during the alarm period.</w:t>
      </w:r>
    </w:p>
    <w:p w:rsidR="00194A51" w:rsidRDefault="00194A51" w:rsidP="00194A51">
      <w:pPr>
        <w:tabs>
          <w:tab w:val="left" w:pos="0"/>
          <w:tab w:val="left" w:pos="360"/>
          <w:tab w:val="left" w:pos="720"/>
          <w:tab w:val="left" w:pos="1080"/>
          <w:tab w:val="left" w:pos="1440"/>
          <w:tab w:val="left" w:pos="1800"/>
          <w:tab w:val="left" w:pos="2160"/>
        </w:tabs>
        <w:spacing w:line="260" w:lineRule="exact"/>
        <w:jc w:val="both"/>
      </w:pPr>
    </w:p>
    <w:p w:rsidR="00194A51" w:rsidRDefault="00194A51" w:rsidP="00194A51">
      <w:pPr>
        <w:tabs>
          <w:tab w:val="left" w:pos="0"/>
          <w:tab w:val="left" w:pos="360"/>
          <w:tab w:val="left" w:pos="720"/>
          <w:tab w:val="left" w:pos="1080"/>
          <w:tab w:val="left" w:pos="1440"/>
          <w:tab w:val="left" w:pos="1800"/>
          <w:tab w:val="left" w:pos="2160"/>
        </w:tabs>
        <w:spacing w:line="260" w:lineRule="exact"/>
        <w:ind w:left="1800" w:hanging="1800"/>
        <w:jc w:val="both"/>
      </w:pPr>
      <w:r>
        <w:lastRenderedPageBreak/>
        <w:tab/>
      </w:r>
      <w:r>
        <w:tab/>
      </w:r>
      <w:r>
        <w:tab/>
      </w:r>
      <w:r>
        <w:sym w:font="Symbol" w:char="F0B7"/>
      </w:r>
      <w:r>
        <w:tab/>
        <w:t>Exceed Shewhart test stand chart limit for precision</w:t>
      </w:r>
    </w:p>
    <w:p w:rsidR="00194A51" w:rsidRDefault="00194A51" w:rsidP="00194A51">
      <w:pPr>
        <w:tabs>
          <w:tab w:val="left" w:pos="0"/>
          <w:tab w:val="left" w:pos="360"/>
          <w:tab w:val="left" w:pos="720"/>
          <w:tab w:val="left" w:pos="1080"/>
          <w:tab w:val="left" w:pos="1440"/>
          <w:tab w:val="left" w:pos="1800"/>
          <w:tab w:val="left" w:pos="2160"/>
        </w:tabs>
        <w:spacing w:line="260" w:lineRule="exact"/>
        <w:ind w:left="1800" w:hanging="1800"/>
        <w:jc w:val="both"/>
      </w:pPr>
    </w:p>
    <w:p w:rsidR="00194A51" w:rsidRDefault="00194A51" w:rsidP="00194A51">
      <w:pPr>
        <w:tabs>
          <w:tab w:val="left" w:pos="0"/>
          <w:tab w:val="left" w:pos="360"/>
          <w:tab w:val="left" w:pos="720"/>
          <w:tab w:val="left" w:pos="1080"/>
          <w:tab w:val="left" w:pos="1440"/>
          <w:tab w:val="left" w:pos="1800"/>
          <w:tab w:val="left" w:pos="2160"/>
        </w:tabs>
        <w:spacing w:line="260" w:lineRule="exact"/>
        <w:ind w:left="1800" w:hanging="1800"/>
        <w:jc w:val="both"/>
      </w:pPr>
      <w:r>
        <w:tab/>
      </w:r>
      <w:r>
        <w:tab/>
      </w:r>
      <w:r>
        <w:tab/>
      </w:r>
      <w:r>
        <w:tab/>
      </w:r>
      <w:r>
        <w:sym w:font="Symbol" w:char="F02D"/>
      </w:r>
      <w:r>
        <w:tab/>
        <w:t>Immediately provide written notice of the alarm and its meaning to all Test Purchasers and the TMC. This notice shall be appended to all test reports for the stand in question during the alarm period.</w:t>
      </w:r>
    </w:p>
    <w:p w:rsidR="00194A51" w:rsidRDefault="00194A51" w:rsidP="00194A51">
      <w:pPr>
        <w:tabs>
          <w:tab w:val="left" w:pos="0"/>
          <w:tab w:val="left" w:pos="360"/>
          <w:tab w:val="left" w:pos="720"/>
          <w:tab w:val="left" w:pos="1080"/>
          <w:tab w:val="left" w:pos="1440"/>
          <w:tab w:val="left" w:pos="1800"/>
          <w:tab w:val="left" w:pos="2160"/>
        </w:tabs>
        <w:spacing w:line="260" w:lineRule="exact"/>
        <w:ind w:left="1800" w:hanging="1800"/>
        <w:jc w:val="both"/>
      </w:pPr>
    </w:p>
    <w:p w:rsidR="00194A51" w:rsidRDefault="00194A51" w:rsidP="00194A51">
      <w:pPr>
        <w:tabs>
          <w:tab w:val="left" w:pos="0"/>
          <w:tab w:val="left" w:pos="360"/>
          <w:tab w:val="left" w:pos="720"/>
          <w:tab w:val="left" w:pos="1080"/>
          <w:tab w:val="left" w:pos="1440"/>
          <w:tab w:val="left" w:pos="1800"/>
          <w:tab w:val="left" w:pos="2160"/>
        </w:tabs>
        <w:spacing w:line="260" w:lineRule="exact"/>
        <w:ind w:left="1800" w:hanging="1800"/>
        <w:jc w:val="both"/>
      </w:pPr>
      <w:r>
        <w:tab/>
      </w:r>
      <w:r>
        <w:tab/>
      </w:r>
      <w:r>
        <w:tab/>
      </w:r>
      <w:r>
        <w:sym w:font="Symbol" w:char="F0B7"/>
      </w:r>
      <w:r>
        <w:tab/>
        <w:t>Exceed Shewhart laboratory chart action limit for precision</w:t>
      </w:r>
    </w:p>
    <w:p w:rsidR="00194A51" w:rsidRDefault="00194A51" w:rsidP="00194A51">
      <w:pPr>
        <w:tabs>
          <w:tab w:val="left" w:pos="0"/>
          <w:tab w:val="left" w:pos="360"/>
          <w:tab w:val="left" w:pos="720"/>
          <w:tab w:val="left" w:pos="1080"/>
          <w:tab w:val="left" w:pos="1440"/>
          <w:tab w:val="left" w:pos="1800"/>
          <w:tab w:val="left" w:pos="2160"/>
        </w:tabs>
        <w:spacing w:line="260" w:lineRule="exact"/>
        <w:ind w:left="1800" w:hanging="1800"/>
        <w:jc w:val="both"/>
      </w:pPr>
    </w:p>
    <w:p w:rsidR="00194A51" w:rsidRDefault="00194A51" w:rsidP="00194A51">
      <w:pPr>
        <w:tabs>
          <w:tab w:val="left" w:pos="0"/>
          <w:tab w:val="left" w:pos="360"/>
          <w:tab w:val="left" w:pos="720"/>
          <w:tab w:val="left" w:pos="1080"/>
          <w:tab w:val="left" w:pos="1440"/>
          <w:tab w:val="left" w:pos="1800"/>
          <w:tab w:val="left" w:pos="2160"/>
        </w:tabs>
        <w:spacing w:line="260" w:lineRule="exact"/>
        <w:ind w:left="1800" w:hanging="1800"/>
        <w:jc w:val="both"/>
      </w:pPr>
      <w:r>
        <w:tab/>
      </w:r>
      <w:r>
        <w:tab/>
      </w:r>
      <w:r>
        <w:tab/>
      </w:r>
      <w:r>
        <w:tab/>
      </w:r>
      <w:r>
        <w:sym w:font="Symbol" w:char="F02D"/>
      </w:r>
      <w:r>
        <w:tab/>
        <w:t>Immediately provide written notice of the alarm and its meaning to all Test Purchasers and the TMC. This notice shall be appended to all test reports during the alarm period.</w:t>
      </w:r>
    </w:p>
    <w:p w:rsidR="00194A51" w:rsidRDefault="00194A51" w:rsidP="00194A51">
      <w:pPr>
        <w:tabs>
          <w:tab w:val="left" w:pos="0"/>
          <w:tab w:val="left" w:pos="360"/>
          <w:tab w:val="left" w:pos="720"/>
          <w:tab w:val="left" w:pos="1080"/>
          <w:tab w:val="left" w:pos="1440"/>
          <w:tab w:val="left" w:pos="1800"/>
          <w:tab w:val="left" w:pos="2160"/>
        </w:tabs>
        <w:spacing w:line="260" w:lineRule="exact"/>
        <w:ind w:left="1800" w:hanging="1800"/>
        <w:jc w:val="both"/>
      </w:pPr>
    </w:p>
    <w:p w:rsidR="00194A51" w:rsidRDefault="00194A51" w:rsidP="00194A51">
      <w:pPr>
        <w:tabs>
          <w:tab w:val="left" w:pos="0"/>
          <w:tab w:val="left" w:pos="360"/>
          <w:tab w:val="left" w:pos="720"/>
          <w:tab w:val="left" w:pos="1080"/>
          <w:tab w:val="left" w:pos="1440"/>
          <w:tab w:val="left" w:pos="1800"/>
          <w:tab w:val="left" w:pos="2160"/>
        </w:tabs>
        <w:spacing w:line="260" w:lineRule="exact"/>
        <w:ind w:left="1800" w:hanging="1800"/>
        <w:jc w:val="both"/>
      </w:pPr>
      <w:r>
        <w:tab/>
      </w:r>
      <w:r>
        <w:tab/>
      </w:r>
      <w:r>
        <w:tab/>
      </w:r>
      <w:r>
        <w:sym w:font="Symbol" w:char="F0B7"/>
      </w:r>
      <w:r>
        <w:tab/>
        <w:t>Exceed EWMA laboratory chart action limit for severity</w:t>
      </w:r>
    </w:p>
    <w:p w:rsidR="00194A51" w:rsidRDefault="00194A51" w:rsidP="00194A51">
      <w:pPr>
        <w:tabs>
          <w:tab w:val="left" w:pos="0"/>
          <w:tab w:val="left" w:pos="360"/>
          <w:tab w:val="left" w:pos="720"/>
          <w:tab w:val="left" w:pos="1080"/>
          <w:tab w:val="left" w:pos="1440"/>
          <w:tab w:val="left" w:pos="1800"/>
          <w:tab w:val="left" w:pos="2160"/>
        </w:tabs>
        <w:spacing w:line="260" w:lineRule="exact"/>
        <w:ind w:left="1800" w:hanging="1800"/>
        <w:jc w:val="both"/>
      </w:pPr>
    </w:p>
    <w:p w:rsidR="00194A51" w:rsidRDefault="00194A51" w:rsidP="00194A51">
      <w:pPr>
        <w:tabs>
          <w:tab w:val="left" w:pos="0"/>
          <w:tab w:val="left" w:pos="360"/>
          <w:tab w:val="left" w:pos="720"/>
          <w:tab w:val="left" w:pos="1080"/>
          <w:tab w:val="left" w:pos="1440"/>
          <w:tab w:val="left" w:pos="1800"/>
          <w:tab w:val="left" w:pos="2160"/>
        </w:tabs>
        <w:spacing w:line="260" w:lineRule="exact"/>
        <w:ind w:left="1800" w:hanging="1800"/>
        <w:jc w:val="both"/>
      </w:pPr>
      <w:r>
        <w:tab/>
      </w:r>
      <w:r>
        <w:tab/>
      </w:r>
      <w:r>
        <w:tab/>
      </w:r>
      <w:r>
        <w:tab/>
      </w:r>
      <w:r>
        <w:sym w:font="Symbol" w:char="F02D"/>
      </w:r>
      <w:r>
        <w:tab/>
        <w:t>Calculate laboratory Severity Adjustment (SA) for each parameter that exceeds action limit, using the current laboratory EWMA (Z</w:t>
      </w:r>
      <w:r>
        <w:rPr>
          <w:vertAlign w:val="subscript"/>
        </w:rPr>
        <w:t>i</w:t>
      </w:r>
      <w:r>
        <w:t>) as follows:</w:t>
      </w:r>
      <w:r>
        <w:tab/>
      </w:r>
    </w:p>
    <w:p w:rsidR="00194A51" w:rsidRDefault="00194A51" w:rsidP="00194A51">
      <w:pPr>
        <w:tabs>
          <w:tab w:val="left" w:pos="0"/>
          <w:tab w:val="left" w:pos="360"/>
          <w:tab w:val="left" w:pos="720"/>
          <w:tab w:val="left" w:pos="1080"/>
          <w:tab w:val="left" w:pos="1440"/>
          <w:tab w:val="left" w:pos="1800"/>
          <w:tab w:val="left" w:pos="2160"/>
        </w:tabs>
        <w:spacing w:line="260" w:lineRule="exact"/>
        <w:ind w:left="1800" w:hanging="1800"/>
        <w:jc w:val="both"/>
      </w:pPr>
    </w:p>
    <w:p w:rsidR="00194A51" w:rsidRDefault="00194A51" w:rsidP="00194A51">
      <w:pPr>
        <w:tabs>
          <w:tab w:val="left" w:pos="0"/>
          <w:tab w:val="left" w:pos="360"/>
          <w:tab w:val="left" w:pos="720"/>
          <w:tab w:val="left" w:pos="1080"/>
          <w:tab w:val="left" w:pos="1440"/>
          <w:tab w:val="left" w:pos="1800"/>
          <w:tab w:val="left" w:pos="2160"/>
        </w:tabs>
        <w:spacing w:line="260" w:lineRule="exact"/>
        <w:ind w:left="1800" w:hanging="1800"/>
        <w:jc w:val="both"/>
      </w:pPr>
      <w:r>
        <w:tab/>
      </w:r>
      <w:r>
        <w:tab/>
      </w:r>
      <w:r>
        <w:tab/>
      </w:r>
      <w:r>
        <w:tab/>
      </w:r>
      <w:r>
        <w:tab/>
      </w:r>
      <w:r>
        <w:tab/>
      </w:r>
      <w:r w:rsidR="00E463E4">
        <w:t>IR Oxidation Peak Height at 360 hours</w:t>
      </w:r>
      <w:r>
        <w:t>:</w:t>
      </w:r>
      <w:r>
        <w:tab/>
      </w:r>
      <w:r>
        <w:tab/>
      </w:r>
      <w:r w:rsidR="00E463E4">
        <w:tab/>
      </w:r>
      <w:r w:rsidR="00E463E4">
        <w:tab/>
      </w:r>
      <w:r>
        <w:t>SA = (-Z</w:t>
      </w:r>
      <w:r>
        <w:rPr>
          <w:vertAlign w:val="subscript"/>
        </w:rPr>
        <w:t>i</w:t>
      </w:r>
      <w:r>
        <w:t>) x (</w:t>
      </w:r>
      <w:r w:rsidR="00E463E4">
        <w:t>12.4</w:t>
      </w:r>
      <w:r>
        <w:t>)</w:t>
      </w:r>
    </w:p>
    <w:p w:rsidR="00194A51" w:rsidRDefault="00E463E4" w:rsidP="00E463E4">
      <w:pPr>
        <w:tabs>
          <w:tab w:val="left" w:pos="0"/>
          <w:tab w:val="left" w:pos="360"/>
          <w:tab w:val="left" w:pos="720"/>
          <w:tab w:val="left" w:pos="1080"/>
          <w:tab w:val="left" w:pos="1440"/>
          <w:tab w:val="left" w:pos="1800"/>
          <w:tab w:val="left" w:pos="2160"/>
        </w:tabs>
        <w:ind w:left="720" w:hanging="720"/>
      </w:pPr>
      <w:r>
        <w:tab/>
      </w:r>
      <w:r>
        <w:tab/>
      </w:r>
      <w:r>
        <w:tab/>
      </w:r>
      <w:r>
        <w:tab/>
      </w:r>
      <w:r>
        <w:tab/>
      </w:r>
      <w:r>
        <w:tab/>
        <w:t>Percent Increase in Viscosity at 40°C from 300 to 360 hour:</w:t>
      </w:r>
      <w:r w:rsidR="00194A51">
        <w:tab/>
        <w:t>SA = (-Z</w:t>
      </w:r>
      <w:r w:rsidR="00194A51">
        <w:rPr>
          <w:vertAlign w:val="subscript"/>
        </w:rPr>
        <w:t>i</w:t>
      </w:r>
      <w:r w:rsidR="00194A51">
        <w:t>) x (</w:t>
      </w:r>
      <w:r>
        <w:t>23.2</w:t>
      </w:r>
      <w:r w:rsidR="00194A51">
        <w:t>)</w:t>
      </w:r>
    </w:p>
    <w:p w:rsidR="00194A51" w:rsidRDefault="00194A51" w:rsidP="00194A51">
      <w:pPr>
        <w:tabs>
          <w:tab w:val="left" w:pos="0"/>
          <w:tab w:val="left" w:pos="360"/>
          <w:tab w:val="left" w:pos="720"/>
          <w:tab w:val="left" w:pos="1080"/>
          <w:tab w:val="left" w:pos="1440"/>
          <w:tab w:val="left" w:pos="1800"/>
          <w:tab w:val="left" w:pos="2160"/>
        </w:tabs>
        <w:spacing w:line="260" w:lineRule="exact"/>
        <w:ind w:left="1080" w:hanging="1080"/>
        <w:jc w:val="both"/>
      </w:pPr>
    </w:p>
    <w:p w:rsidR="00194A51" w:rsidRDefault="00194A51" w:rsidP="00194A51">
      <w:pPr>
        <w:tabs>
          <w:tab w:val="left" w:pos="0"/>
          <w:tab w:val="left" w:pos="360"/>
          <w:tab w:val="left" w:pos="720"/>
          <w:tab w:val="left" w:pos="1080"/>
          <w:tab w:val="left" w:pos="1440"/>
          <w:tab w:val="left" w:pos="1800"/>
          <w:tab w:val="left" w:pos="2160"/>
        </w:tabs>
        <w:spacing w:line="260" w:lineRule="exact"/>
        <w:ind w:left="1440" w:hanging="1440"/>
        <w:jc w:val="both"/>
      </w:pPr>
      <w:r>
        <w:tab/>
      </w:r>
      <w:r>
        <w:tab/>
      </w:r>
      <w:r>
        <w:tab/>
      </w:r>
      <w:r>
        <w:tab/>
      </w:r>
      <w:r>
        <w:sym w:font="Symbol" w:char="F02D"/>
      </w:r>
      <w:r>
        <w:tab/>
        <w:t>Confirm calculations with the TMC.</w:t>
      </w:r>
    </w:p>
    <w:p w:rsidR="00194A51" w:rsidRDefault="00194A51" w:rsidP="00194A51">
      <w:pPr>
        <w:tabs>
          <w:tab w:val="left" w:pos="0"/>
          <w:tab w:val="left" w:pos="360"/>
          <w:tab w:val="left" w:pos="720"/>
          <w:tab w:val="left" w:pos="1080"/>
          <w:tab w:val="left" w:pos="1440"/>
          <w:tab w:val="left" w:pos="1800"/>
          <w:tab w:val="left" w:pos="2160"/>
        </w:tabs>
        <w:spacing w:line="260" w:lineRule="exact"/>
        <w:ind w:left="1440" w:hanging="1440"/>
        <w:jc w:val="both"/>
      </w:pPr>
    </w:p>
    <w:p w:rsidR="00194A51" w:rsidRDefault="00194A51" w:rsidP="00194A51">
      <w:pPr>
        <w:tabs>
          <w:tab w:val="left" w:pos="0"/>
          <w:tab w:val="left" w:pos="360"/>
          <w:tab w:val="left" w:pos="720"/>
          <w:tab w:val="left" w:pos="1080"/>
          <w:tab w:val="left" w:pos="1440"/>
          <w:tab w:val="left" w:pos="1800"/>
          <w:tab w:val="left" w:pos="2160"/>
        </w:tabs>
        <w:spacing w:line="260" w:lineRule="exact"/>
        <w:ind w:left="1440" w:hanging="1440"/>
        <w:jc w:val="both"/>
      </w:pPr>
      <w:r>
        <w:tab/>
      </w:r>
      <w:r>
        <w:tab/>
      </w:r>
      <w:r>
        <w:tab/>
      </w:r>
      <w:r>
        <w:sym w:font="Symbol" w:char="F0B7"/>
      </w:r>
      <w:r>
        <w:tab/>
        <w:t>Exceed EWMA test stand chart limit for severity</w:t>
      </w:r>
    </w:p>
    <w:p w:rsidR="00194A51" w:rsidRDefault="00194A51" w:rsidP="00194A51">
      <w:pPr>
        <w:tabs>
          <w:tab w:val="left" w:pos="0"/>
          <w:tab w:val="left" w:pos="360"/>
          <w:tab w:val="left" w:pos="720"/>
          <w:tab w:val="left" w:pos="1080"/>
          <w:tab w:val="left" w:pos="1440"/>
          <w:tab w:val="left" w:pos="1800"/>
          <w:tab w:val="left" w:pos="2160"/>
        </w:tabs>
        <w:spacing w:line="260" w:lineRule="exact"/>
        <w:ind w:left="1440" w:hanging="1440"/>
        <w:jc w:val="both"/>
      </w:pPr>
    </w:p>
    <w:p w:rsidR="00194A51" w:rsidRDefault="00194A51" w:rsidP="00194A51">
      <w:pPr>
        <w:tabs>
          <w:tab w:val="left" w:pos="0"/>
          <w:tab w:val="left" w:pos="360"/>
          <w:tab w:val="left" w:pos="720"/>
          <w:tab w:val="left" w:pos="1080"/>
          <w:tab w:val="left" w:pos="1440"/>
          <w:tab w:val="left" w:pos="1800"/>
          <w:tab w:val="left" w:pos="2160"/>
        </w:tabs>
        <w:spacing w:line="260" w:lineRule="exact"/>
        <w:ind w:left="1800" w:hanging="1800"/>
        <w:jc w:val="both"/>
      </w:pPr>
      <w:r>
        <w:tab/>
      </w:r>
      <w:r>
        <w:tab/>
      </w:r>
      <w:r>
        <w:tab/>
      </w:r>
      <w:r>
        <w:tab/>
      </w:r>
      <w:r>
        <w:sym w:font="Symbol" w:char="F02D"/>
      </w:r>
      <w:r>
        <w:tab/>
        <w:t xml:space="preserve">Notify the TMC.  If the direction of the test stand severity is deemed different </w:t>
      </w:r>
      <w:proofErr w:type="gramStart"/>
      <w:r>
        <w:t>from  that</w:t>
      </w:r>
      <w:proofErr w:type="gramEnd"/>
      <w:r>
        <w:t xml:space="preserve"> of the test laboratory, conduct an additional calibration test in the identified test stand.  If this limit is still exceeded after the additional calibration test, then remove test stand from the system, notify the TMC, correct test stand severity problem, and follow requirements for entry of a new test stand into the system.</w:t>
      </w:r>
    </w:p>
    <w:p w:rsidR="00194A51" w:rsidRDefault="00194A51" w:rsidP="00194A51">
      <w:pPr>
        <w:tabs>
          <w:tab w:val="left" w:pos="0"/>
          <w:tab w:val="left" w:pos="360"/>
          <w:tab w:val="left" w:pos="720"/>
          <w:tab w:val="left" w:pos="1080"/>
          <w:tab w:val="left" w:pos="1440"/>
          <w:tab w:val="left" w:pos="1800"/>
          <w:tab w:val="left" w:pos="2160"/>
        </w:tabs>
        <w:spacing w:line="260" w:lineRule="exact"/>
        <w:ind w:left="1440" w:hanging="1440"/>
        <w:jc w:val="both"/>
      </w:pPr>
    </w:p>
    <w:p w:rsidR="00194A51" w:rsidRDefault="00194A51" w:rsidP="00194A51">
      <w:pPr>
        <w:tabs>
          <w:tab w:val="left" w:pos="0"/>
          <w:tab w:val="left" w:pos="360"/>
          <w:tab w:val="left" w:pos="720"/>
          <w:tab w:val="left" w:pos="1080"/>
          <w:tab w:val="left" w:pos="1440"/>
          <w:tab w:val="left" w:pos="1800"/>
          <w:tab w:val="left" w:pos="2160"/>
        </w:tabs>
        <w:spacing w:line="260" w:lineRule="exact"/>
        <w:ind w:left="1440" w:hanging="1440"/>
        <w:jc w:val="both"/>
      </w:pPr>
    </w:p>
    <w:p w:rsidR="00194A51" w:rsidRDefault="00194A51" w:rsidP="00194A51">
      <w:pPr>
        <w:tabs>
          <w:tab w:val="left" w:pos="0"/>
          <w:tab w:val="left" w:pos="360"/>
          <w:tab w:val="left" w:pos="720"/>
          <w:tab w:val="left" w:pos="1080"/>
          <w:tab w:val="left" w:pos="1440"/>
          <w:tab w:val="left" w:pos="1800"/>
          <w:tab w:val="left" w:pos="2160"/>
        </w:tabs>
        <w:spacing w:line="260" w:lineRule="exact"/>
        <w:ind w:left="1440" w:hanging="1440"/>
        <w:jc w:val="both"/>
      </w:pPr>
    </w:p>
    <w:p w:rsidR="00194A51" w:rsidRDefault="00194A51" w:rsidP="00194A51">
      <w:pPr>
        <w:tabs>
          <w:tab w:val="left" w:pos="0"/>
          <w:tab w:val="left" w:pos="360"/>
          <w:tab w:val="left" w:pos="720"/>
          <w:tab w:val="left" w:pos="1080"/>
          <w:tab w:val="left" w:pos="1440"/>
          <w:tab w:val="left" w:pos="1800"/>
          <w:tab w:val="left" w:pos="2160"/>
        </w:tabs>
        <w:spacing w:line="260" w:lineRule="exact"/>
        <w:ind w:left="1440" w:hanging="1440"/>
        <w:jc w:val="both"/>
      </w:pPr>
      <w:r>
        <w:tab/>
      </w:r>
      <w:r>
        <w:tab/>
      </w:r>
      <w:r>
        <w:tab/>
      </w:r>
      <w:r>
        <w:sym w:font="Symbol" w:char="F0B7"/>
      </w:r>
      <w:r>
        <w:tab/>
        <w:t>Exceed Shewhart test stand chart limit for severity</w:t>
      </w:r>
    </w:p>
    <w:p w:rsidR="00194A51" w:rsidRDefault="00194A51" w:rsidP="00194A51">
      <w:pPr>
        <w:tabs>
          <w:tab w:val="left" w:pos="0"/>
          <w:tab w:val="left" w:pos="360"/>
          <w:tab w:val="left" w:pos="720"/>
          <w:tab w:val="left" w:pos="1080"/>
          <w:tab w:val="left" w:pos="1440"/>
          <w:tab w:val="left" w:pos="1800"/>
          <w:tab w:val="left" w:pos="2160"/>
        </w:tabs>
        <w:spacing w:line="260" w:lineRule="exact"/>
        <w:ind w:left="1440" w:hanging="1440"/>
        <w:jc w:val="both"/>
      </w:pPr>
    </w:p>
    <w:p w:rsidR="00194A51" w:rsidRDefault="00194A51" w:rsidP="00194A51">
      <w:pPr>
        <w:tabs>
          <w:tab w:val="left" w:pos="0"/>
          <w:tab w:val="left" w:pos="360"/>
          <w:tab w:val="left" w:pos="720"/>
          <w:tab w:val="left" w:pos="1080"/>
          <w:tab w:val="left" w:pos="1440"/>
          <w:tab w:val="left" w:pos="1800"/>
          <w:tab w:val="left" w:pos="2160"/>
        </w:tabs>
        <w:spacing w:line="260" w:lineRule="exact"/>
        <w:ind w:left="1440" w:hanging="1440"/>
        <w:jc w:val="both"/>
      </w:pPr>
      <w:r>
        <w:tab/>
      </w:r>
      <w:r>
        <w:tab/>
      </w:r>
      <w:r>
        <w:tab/>
      </w:r>
      <w:r>
        <w:tab/>
      </w:r>
      <w:r>
        <w:sym w:font="Symbol" w:char="F02D"/>
      </w:r>
      <w:r>
        <w:tab/>
        <w:t>Conduct an additional calibration test.</w:t>
      </w:r>
    </w:p>
    <w:p w:rsidR="00194A51" w:rsidRDefault="00194A51" w:rsidP="00194A51">
      <w:pPr>
        <w:tabs>
          <w:tab w:val="left" w:pos="0"/>
          <w:tab w:val="left" w:pos="360"/>
          <w:tab w:val="left" w:pos="720"/>
          <w:tab w:val="left" w:pos="1080"/>
          <w:tab w:val="left" w:pos="1440"/>
          <w:tab w:val="left" w:pos="1800"/>
          <w:tab w:val="left" w:pos="2160"/>
        </w:tabs>
        <w:spacing w:line="260" w:lineRule="exact"/>
        <w:ind w:left="1440" w:hanging="1440"/>
        <w:jc w:val="both"/>
      </w:pPr>
    </w:p>
    <w:p w:rsidR="00194A51" w:rsidRDefault="00194A51" w:rsidP="00194A51">
      <w:pPr>
        <w:tabs>
          <w:tab w:val="left" w:pos="0"/>
          <w:tab w:val="left" w:pos="360"/>
          <w:tab w:val="left" w:pos="720"/>
          <w:tab w:val="left" w:pos="1080"/>
          <w:tab w:val="left" w:pos="1440"/>
          <w:tab w:val="left" w:pos="1800"/>
          <w:tab w:val="left" w:pos="2160"/>
        </w:tabs>
        <w:spacing w:line="260" w:lineRule="exact"/>
        <w:ind w:left="1080" w:hanging="1080"/>
        <w:jc w:val="both"/>
      </w:pPr>
      <w:r>
        <w:tab/>
      </w:r>
      <w:r>
        <w:tab/>
      </w:r>
      <w:r>
        <w:tab/>
        <w:t>The following industry issues are handled by the TMC and do not require individual laboratory action.</w:t>
      </w:r>
    </w:p>
    <w:p w:rsidR="00194A51" w:rsidRDefault="00194A51" w:rsidP="00194A51">
      <w:pPr>
        <w:tabs>
          <w:tab w:val="left" w:pos="0"/>
          <w:tab w:val="left" w:pos="360"/>
          <w:tab w:val="left" w:pos="720"/>
          <w:tab w:val="left" w:pos="1080"/>
          <w:tab w:val="left" w:pos="1440"/>
          <w:tab w:val="left" w:pos="1800"/>
          <w:tab w:val="left" w:pos="2160"/>
        </w:tabs>
        <w:spacing w:line="260" w:lineRule="exact"/>
        <w:ind w:left="1080" w:hanging="1080"/>
        <w:jc w:val="both"/>
      </w:pPr>
    </w:p>
    <w:p w:rsidR="00194A51" w:rsidRDefault="00194A51" w:rsidP="00194A51">
      <w:pPr>
        <w:tabs>
          <w:tab w:val="left" w:pos="0"/>
          <w:tab w:val="left" w:pos="360"/>
          <w:tab w:val="left" w:pos="720"/>
          <w:tab w:val="left" w:pos="1080"/>
          <w:tab w:val="left" w:pos="1440"/>
          <w:tab w:val="left" w:pos="1800"/>
          <w:tab w:val="left" w:pos="2160"/>
        </w:tabs>
        <w:spacing w:line="260" w:lineRule="exact"/>
        <w:ind w:left="1080" w:hanging="1080"/>
        <w:jc w:val="both"/>
      </w:pPr>
      <w:r>
        <w:tab/>
      </w:r>
      <w:r>
        <w:tab/>
      </w:r>
      <w:r>
        <w:tab/>
      </w:r>
      <w:r>
        <w:sym w:font="Symbol" w:char="F0B7"/>
      </w:r>
      <w:r>
        <w:tab/>
        <w:t>Exceed EWMA industry chart action limit</w:t>
      </w:r>
    </w:p>
    <w:p w:rsidR="00194A51" w:rsidRDefault="00194A51" w:rsidP="00194A51">
      <w:pPr>
        <w:tabs>
          <w:tab w:val="left" w:pos="0"/>
          <w:tab w:val="left" w:pos="360"/>
          <w:tab w:val="left" w:pos="720"/>
          <w:tab w:val="left" w:pos="1080"/>
          <w:tab w:val="left" w:pos="1440"/>
          <w:tab w:val="left" w:pos="1800"/>
          <w:tab w:val="left" w:pos="2160"/>
        </w:tabs>
        <w:spacing w:line="260" w:lineRule="exact"/>
        <w:ind w:left="1080" w:hanging="1080"/>
        <w:jc w:val="both"/>
      </w:pPr>
    </w:p>
    <w:p w:rsidR="00194A51" w:rsidRDefault="00194A51" w:rsidP="00194A51">
      <w:pPr>
        <w:tabs>
          <w:tab w:val="left" w:pos="0"/>
          <w:tab w:val="left" w:pos="360"/>
          <w:tab w:val="left" w:pos="720"/>
          <w:tab w:val="left" w:pos="1080"/>
          <w:tab w:val="left" w:pos="1440"/>
          <w:tab w:val="left" w:pos="1800"/>
          <w:tab w:val="left" w:pos="2160"/>
        </w:tabs>
        <w:spacing w:line="260" w:lineRule="exact"/>
        <w:ind w:left="1800" w:hanging="1800"/>
        <w:jc w:val="both"/>
      </w:pPr>
      <w:r>
        <w:tab/>
      </w:r>
      <w:r>
        <w:tab/>
      </w:r>
      <w:r>
        <w:tab/>
      </w:r>
      <w:r>
        <w:tab/>
      </w:r>
      <w:r>
        <w:sym w:font="Symbol" w:char="F02D"/>
      </w:r>
      <w:r>
        <w:tab/>
      </w:r>
      <w:proofErr w:type="gramStart"/>
      <w:r>
        <w:t>TMC to notify test developer, surveillance panel chairman, and ACC Monitoring Agency.</w:t>
      </w:r>
      <w:proofErr w:type="gramEnd"/>
      <w:r>
        <w:t xml:space="preserve">  Meeting of the TMC, test developer, and surveillance panel required to determine course of action.</w:t>
      </w:r>
      <w:r>
        <w:tab/>
      </w:r>
    </w:p>
    <w:p w:rsidR="00194A51" w:rsidRDefault="00194A51" w:rsidP="00194A51">
      <w:pPr>
        <w:tabs>
          <w:tab w:val="left" w:pos="0"/>
          <w:tab w:val="left" w:pos="360"/>
          <w:tab w:val="left" w:pos="720"/>
          <w:tab w:val="left" w:pos="1080"/>
          <w:tab w:val="left" w:pos="1440"/>
          <w:tab w:val="left" w:pos="1800"/>
          <w:tab w:val="left" w:pos="2160"/>
        </w:tabs>
        <w:spacing w:line="260" w:lineRule="exact"/>
        <w:ind w:left="1800" w:hanging="1800"/>
        <w:jc w:val="both"/>
      </w:pPr>
    </w:p>
    <w:p w:rsidR="00194A51" w:rsidRDefault="00194A51" w:rsidP="00194A51">
      <w:pPr>
        <w:tabs>
          <w:tab w:val="left" w:pos="0"/>
          <w:tab w:val="left" w:pos="360"/>
          <w:tab w:val="left" w:pos="720"/>
          <w:tab w:val="left" w:pos="1080"/>
          <w:tab w:val="left" w:pos="1440"/>
          <w:tab w:val="left" w:pos="1800"/>
          <w:tab w:val="left" w:pos="2160"/>
        </w:tabs>
        <w:spacing w:line="260" w:lineRule="exact"/>
        <w:ind w:left="1800" w:hanging="1800"/>
        <w:jc w:val="both"/>
      </w:pPr>
      <w:r>
        <w:tab/>
      </w:r>
      <w:r>
        <w:tab/>
      </w:r>
      <w:r>
        <w:tab/>
      </w:r>
      <w:r>
        <w:sym w:font="Symbol" w:char="F0B7"/>
      </w:r>
      <w:r>
        <w:tab/>
        <w:t>Exceed EWMA industry chart warning limit</w:t>
      </w:r>
    </w:p>
    <w:p w:rsidR="00194A51" w:rsidRDefault="00194A51" w:rsidP="00194A51">
      <w:pPr>
        <w:tabs>
          <w:tab w:val="left" w:pos="0"/>
          <w:tab w:val="left" w:pos="360"/>
          <w:tab w:val="left" w:pos="720"/>
          <w:tab w:val="left" w:pos="1080"/>
          <w:tab w:val="left" w:pos="1440"/>
          <w:tab w:val="left" w:pos="1800"/>
          <w:tab w:val="left" w:pos="2160"/>
        </w:tabs>
        <w:spacing w:line="260" w:lineRule="exact"/>
        <w:ind w:left="1800" w:hanging="1800"/>
        <w:jc w:val="both"/>
      </w:pPr>
    </w:p>
    <w:p w:rsidR="001B2786" w:rsidRDefault="00194A51" w:rsidP="00E463E4">
      <w:pPr>
        <w:tabs>
          <w:tab w:val="left" w:pos="0"/>
          <w:tab w:val="left" w:pos="360"/>
          <w:tab w:val="left" w:pos="720"/>
          <w:tab w:val="left" w:pos="1080"/>
          <w:tab w:val="left" w:pos="1440"/>
          <w:tab w:val="left" w:pos="1800"/>
          <w:tab w:val="left" w:pos="2160"/>
        </w:tabs>
        <w:spacing w:line="260" w:lineRule="exact"/>
        <w:ind w:left="1800" w:hanging="1800"/>
        <w:jc w:val="both"/>
      </w:pPr>
      <w:r>
        <w:tab/>
      </w:r>
      <w:r>
        <w:tab/>
      </w:r>
      <w:r>
        <w:tab/>
      </w:r>
      <w:r>
        <w:tab/>
      </w:r>
      <w:r>
        <w:sym w:font="Symbol" w:char="F02D"/>
      </w:r>
      <w:r>
        <w:tab/>
      </w:r>
      <w:proofErr w:type="gramStart"/>
      <w:r>
        <w:t>TMC to notify test developer, surveillance panel chairman, and ACC Monitoring Agency.</w:t>
      </w:r>
      <w:proofErr w:type="gramEnd"/>
      <w:r>
        <w:t xml:space="preserve">  Coordination of TMC, test developer, and surveillance panel chairman required to discuss potential problem.</w:t>
      </w:r>
      <w:r>
        <w:tab/>
      </w:r>
    </w:p>
    <w:sectPr w:rsidR="001B2786" w:rsidSect="00194A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EC2872"/>
    <w:lvl w:ilvl="0">
      <w:start w:val="1"/>
      <w:numFmt w:val="decimal"/>
      <w:pStyle w:val="Heading1"/>
      <w:lvlText w:val=" %1. "/>
      <w:legacy w:legacy="1" w:legacySpace="0" w:legacyIndent="0"/>
      <w:lvlJc w:val="left"/>
      <w:rPr>
        <w:rFonts w:ascii="Times New Roman" w:hAnsi="Times New Roman" w:hint="default"/>
        <w:b w:val="0"/>
        <w:i w:val="0"/>
        <w:sz w:val="22"/>
      </w:rPr>
    </w:lvl>
    <w:lvl w:ilvl="1">
      <w:start w:val="1"/>
      <w:numFmt w:val="upperLetter"/>
      <w:pStyle w:val="Heading2"/>
      <w:lvlText w:val="APPENDIX %2"/>
      <w:legacy w:legacy="1" w:legacySpace="0" w:legacyIndent="0"/>
      <w:lvlJc w:val="left"/>
      <w:rPr>
        <w:rFonts w:ascii="Times New Roman" w:hAnsi="Times New Roman" w:hint="default"/>
        <w:b w:val="0"/>
        <w:i w:val="0"/>
        <w:sz w:val="22"/>
      </w:rPr>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nsid w:val="18412757"/>
    <w:multiLevelType w:val="singleLevel"/>
    <w:tmpl w:val="BC9413BA"/>
    <w:lvl w:ilvl="0">
      <w:numFmt w:val="bullet"/>
      <w:lvlText w:val=""/>
      <w:lvlJc w:val="left"/>
      <w:pPr>
        <w:tabs>
          <w:tab w:val="num" w:pos="1440"/>
        </w:tabs>
        <w:ind w:left="144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A51"/>
    <w:rsid w:val="000655D2"/>
    <w:rsid w:val="0010005A"/>
    <w:rsid w:val="001417B5"/>
    <w:rsid w:val="00194A51"/>
    <w:rsid w:val="001F348C"/>
    <w:rsid w:val="00310A74"/>
    <w:rsid w:val="005D4190"/>
    <w:rsid w:val="005E7245"/>
    <w:rsid w:val="00603CFB"/>
    <w:rsid w:val="00660FFD"/>
    <w:rsid w:val="006840A8"/>
    <w:rsid w:val="00977E6E"/>
    <w:rsid w:val="00C00280"/>
    <w:rsid w:val="00C20D81"/>
    <w:rsid w:val="00C70D0D"/>
    <w:rsid w:val="00E46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51"/>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194A51"/>
    <w:pPr>
      <w:keepNext/>
      <w:numPr>
        <w:numId w:val="1"/>
      </w:numPr>
      <w:spacing w:before="240" w:after="60"/>
      <w:outlineLvl w:val="0"/>
    </w:pPr>
    <w:rPr>
      <w:kern w:val="28"/>
    </w:rPr>
  </w:style>
  <w:style w:type="paragraph" w:styleId="Heading2">
    <w:name w:val="heading 2"/>
    <w:basedOn w:val="Heading1"/>
    <w:next w:val="Heading1"/>
    <w:link w:val="Heading2Char"/>
    <w:qFormat/>
    <w:rsid w:val="00194A51"/>
    <w:pPr>
      <w:numPr>
        <w:ilvl w:val="1"/>
      </w:numPr>
      <w:outlineLvl w:val="1"/>
    </w:pPr>
  </w:style>
  <w:style w:type="paragraph" w:styleId="Heading3">
    <w:name w:val="heading 3"/>
    <w:basedOn w:val="Normal"/>
    <w:next w:val="Normal"/>
    <w:link w:val="Heading3Char"/>
    <w:qFormat/>
    <w:rsid w:val="00194A51"/>
    <w:pPr>
      <w:keepNext/>
      <w:numPr>
        <w:ilvl w:val="2"/>
        <w:numId w:val="1"/>
      </w:numPr>
      <w:spacing w:before="240" w:after="60"/>
      <w:outlineLvl w:val="2"/>
    </w:pPr>
    <w:rPr>
      <w:rFonts w:ascii="Arial" w:hAnsi="Arial"/>
      <w:sz w:val="24"/>
    </w:rPr>
  </w:style>
  <w:style w:type="paragraph" w:styleId="Heading4">
    <w:name w:val="heading 4"/>
    <w:basedOn w:val="Normal"/>
    <w:next w:val="Normal"/>
    <w:link w:val="Heading4Char"/>
    <w:qFormat/>
    <w:rsid w:val="00194A51"/>
    <w:pPr>
      <w:keepNext/>
      <w:numPr>
        <w:ilvl w:val="3"/>
        <w:numId w:val="1"/>
      </w:numPr>
      <w:spacing w:before="240" w:after="60"/>
      <w:outlineLvl w:val="3"/>
    </w:pPr>
    <w:rPr>
      <w:rFonts w:ascii="Arial" w:hAnsi="Arial"/>
      <w:b/>
      <w:sz w:val="24"/>
    </w:rPr>
  </w:style>
  <w:style w:type="paragraph" w:styleId="Heading5">
    <w:name w:val="heading 5"/>
    <w:basedOn w:val="Normal"/>
    <w:next w:val="Normal"/>
    <w:link w:val="Heading5Char"/>
    <w:qFormat/>
    <w:rsid w:val="00194A51"/>
    <w:pPr>
      <w:numPr>
        <w:ilvl w:val="4"/>
        <w:numId w:val="1"/>
      </w:numPr>
      <w:spacing w:before="240" w:after="60"/>
      <w:outlineLvl w:val="4"/>
    </w:pPr>
    <w:rPr>
      <w:rFonts w:ascii="Arial" w:hAnsi="Arial"/>
    </w:rPr>
  </w:style>
  <w:style w:type="paragraph" w:styleId="Heading6">
    <w:name w:val="heading 6"/>
    <w:basedOn w:val="Normal"/>
    <w:next w:val="Normal"/>
    <w:link w:val="Heading6Char"/>
    <w:qFormat/>
    <w:rsid w:val="00194A51"/>
    <w:pPr>
      <w:numPr>
        <w:ilvl w:val="5"/>
        <w:numId w:val="1"/>
      </w:numPr>
      <w:spacing w:before="240" w:after="60"/>
      <w:outlineLvl w:val="5"/>
    </w:pPr>
    <w:rPr>
      <w:i/>
    </w:rPr>
  </w:style>
  <w:style w:type="paragraph" w:styleId="Heading7">
    <w:name w:val="heading 7"/>
    <w:basedOn w:val="Normal"/>
    <w:next w:val="Normal"/>
    <w:link w:val="Heading7Char"/>
    <w:qFormat/>
    <w:rsid w:val="00194A51"/>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194A51"/>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194A51"/>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4A51"/>
    <w:rPr>
      <w:rFonts w:ascii="Times New Roman" w:eastAsia="Times New Roman" w:hAnsi="Times New Roman" w:cs="Times New Roman"/>
      <w:kern w:val="28"/>
      <w:szCs w:val="20"/>
    </w:rPr>
  </w:style>
  <w:style w:type="character" w:customStyle="1" w:styleId="Heading2Char">
    <w:name w:val="Heading 2 Char"/>
    <w:basedOn w:val="DefaultParagraphFont"/>
    <w:link w:val="Heading2"/>
    <w:rsid w:val="00194A51"/>
    <w:rPr>
      <w:rFonts w:ascii="Times New Roman" w:eastAsia="Times New Roman" w:hAnsi="Times New Roman" w:cs="Times New Roman"/>
      <w:kern w:val="28"/>
      <w:szCs w:val="20"/>
    </w:rPr>
  </w:style>
  <w:style w:type="character" w:customStyle="1" w:styleId="Heading3Char">
    <w:name w:val="Heading 3 Char"/>
    <w:basedOn w:val="DefaultParagraphFont"/>
    <w:link w:val="Heading3"/>
    <w:rsid w:val="00194A51"/>
    <w:rPr>
      <w:rFonts w:ascii="Arial" w:eastAsia="Times New Roman" w:hAnsi="Arial" w:cs="Times New Roman"/>
      <w:sz w:val="24"/>
      <w:szCs w:val="20"/>
    </w:rPr>
  </w:style>
  <w:style w:type="character" w:customStyle="1" w:styleId="Heading4Char">
    <w:name w:val="Heading 4 Char"/>
    <w:basedOn w:val="DefaultParagraphFont"/>
    <w:link w:val="Heading4"/>
    <w:rsid w:val="00194A51"/>
    <w:rPr>
      <w:rFonts w:ascii="Arial" w:eastAsia="Times New Roman" w:hAnsi="Arial" w:cs="Times New Roman"/>
      <w:b/>
      <w:sz w:val="24"/>
      <w:szCs w:val="20"/>
    </w:rPr>
  </w:style>
  <w:style w:type="character" w:customStyle="1" w:styleId="Heading5Char">
    <w:name w:val="Heading 5 Char"/>
    <w:basedOn w:val="DefaultParagraphFont"/>
    <w:link w:val="Heading5"/>
    <w:rsid w:val="00194A51"/>
    <w:rPr>
      <w:rFonts w:ascii="Arial" w:eastAsia="Times New Roman" w:hAnsi="Arial" w:cs="Times New Roman"/>
      <w:szCs w:val="20"/>
    </w:rPr>
  </w:style>
  <w:style w:type="character" w:customStyle="1" w:styleId="Heading6Char">
    <w:name w:val="Heading 6 Char"/>
    <w:basedOn w:val="DefaultParagraphFont"/>
    <w:link w:val="Heading6"/>
    <w:rsid w:val="00194A51"/>
    <w:rPr>
      <w:rFonts w:ascii="Times New Roman" w:eastAsia="Times New Roman" w:hAnsi="Times New Roman" w:cs="Times New Roman"/>
      <w:i/>
      <w:szCs w:val="20"/>
    </w:rPr>
  </w:style>
  <w:style w:type="character" w:customStyle="1" w:styleId="Heading7Char">
    <w:name w:val="Heading 7 Char"/>
    <w:basedOn w:val="DefaultParagraphFont"/>
    <w:link w:val="Heading7"/>
    <w:rsid w:val="00194A51"/>
    <w:rPr>
      <w:rFonts w:ascii="Arial" w:eastAsia="Times New Roman" w:hAnsi="Arial" w:cs="Times New Roman"/>
      <w:sz w:val="20"/>
      <w:szCs w:val="20"/>
    </w:rPr>
  </w:style>
  <w:style w:type="character" w:customStyle="1" w:styleId="Heading8Char">
    <w:name w:val="Heading 8 Char"/>
    <w:basedOn w:val="DefaultParagraphFont"/>
    <w:link w:val="Heading8"/>
    <w:rsid w:val="00194A51"/>
    <w:rPr>
      <w:rFonts w:ascii="Arial" w:eastAsia="Times New Roman" w:hAnsi="Arial" w:cs="Times New Roman"/>
      <w:i/>
      <w:sz w:val="20"/>
      <w:szCs w:val="20"/>
    </w:rPr>
  </w:style>
  <w:style w:type="character" w:customStyle="1" w:styleId="Heading9Char">
    <w:name w:val="Heading 9 Char"/>
    <w:basedOn w:val="DefaultParagraphFont"/>
    <w:link w:val="Heading9"/>
    <w:rsid w:val="00194A51"/>
    <w:rPr>
      <w:rFonts w:ascii="Arial" w:eastAsia="Times New Roman" w:hAnsi="Arial" w:cs="Times New Roman"/>
      <w:b/>
      <w:i/>
      <w:sz w:val="18"/>
      <w:szCs w:val="20"/>
    </w:rPr>
  </w:style>
  <w:style w:type="paragraph" w:styleId="NormalWeb">
    <w:name w:val="Normal (Web)"/>
    <w:basedOn w:val="Normal"/>
    <w:uiPriority w:val="99"/>
    <w:semiHidden/>
    <w:unhideWhenUsed/>
    <w:rsid w:val="005E7245"/>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51"/>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194A51"/>
    <w:pPr>
      <w:keepNext/>
      <w:numPr>
        <w:numId w:val="1"/>
      </w:numPr>
      <w:spacing w:before="240" w:after="60"/>
      <w:outlineLvl w:val="0"/>
    </w:pPr>
    <w:rPr>
      <w:kern w:val="28"/>
    </w:rPr>
  </w:style>
  <w:style w:type="paragraph" w:styleId="Heading2">
    <w:name w:val="heading 2"/>
    <w:basedOn w:val="Heading1"/>
    <w:next w:val="Heading1"/>
    <w:link w:val="Heading2Char"/>
    <w:qFormat/>
    <w:rsid w:val="00194A51"/>
    <w:pPr>
      <w:numPr>
        <w:ilvl w:val="1"/>
      </w:numPr>
      <w:outlineLvl w:val="1"/>
    </w:pPr>
  </w:style>
  <w:style w:type="paragraph" w:styleId="Heading3">
    <w:name w:val="heading 3"/>
    <w:basedOn w:val="Normal"/>
    <w:next w:val="Normal"/>
    <w:link w:val="Heading3Char"/>
    <w:qFormat/>
    <w:rsid w:val="00194A51"/>
    <w:pPr>
      <w:keepNext/>
      <w:numPr>
        <w:ilvl w:val="2"/>
        <w:numId w:val="1"/>
      </w:numPr>
      <w:spacing w:before="240" w:after="60"/>
      <w:outlineLvl w:val="2"/>
    </w:pPr>
    <w:rPr>
      <w:rFonts w:ascii="Arial" w:hAnsi="Arial"/>
      <w:sz w:val="24"/>
    </w:rPr>
  </w:style>
  <w:style w:type="paragraph" w:styleId="Heading4">
    <w:name w:val="heading 4"/>
    <w:basedOn w:val="Normal"/>
    <w:next w:val="Normal"/>
    <w:link w:val="Heading4Char"/>
    <w:qFormat/>
    <w:rsid w:val="00194A51"/>
    <w:pPr>
      <w:keepNext/>
      <w:numPr>
        <w:ilvl w:val="3"/>
        <w:numId w:val="1"/>
      </w:numPr>
      <w:spacing w:before="240" w:after="60"/>
      <w:outlineLvl w:val="3"/>
    </w:pPr>
    <w:rPr>
      <w:rFonts w:ascii="Arial" w:hAnsi="Arial"/>
      <w:b/>
      <w:sz w:val="24"/>
    </w:rPr>
  </w:style>
  <w:style w:type="paragraph" w:styleId="Heading5">
    <w:name w:val="heading 5"/>
    <w:basedOn w:val="Normal"/>
    <w:next w:val="Normal"/>
    <w:link w:val="Heading5Char"/>
    <w:qFormat/>
    <w:rsid w:val="00194A51"/>
    <w:pPr>
      <w:numPr>
        <w:ilvl w:val="4"/>
        <w:numId w:val="1"/>
      </w:numPr>
      <w:spacing w:before="240" w:after="60"/>
      <w:outlineLvl w:val="4"/>
    </w:pPr>
    <w:rPr>
      <w:rFonts w:ascii="Arial" w:hAnsi="Arial"/>
    </w:rPr>
  </w:style>
  <w:style w:type="paragraph" w:styleId="Heading6">
    <w:name w:val="heading 6"/>
    <w:basedOn w:val="Normal"/>
    <w:next w:val="Normal"/>
    <w:link w:val="Heading6Char"/>
    <w:qFormat/>
    <w:rsid w:val="00194A51"/>
    <w:pPr>
      <w:numPr>
        <w:ilvl w:val="5"/>
        <w:numId w:val="1"/>
      </w:numPr>
      <w:spacing w:before="240" w:after="60"/>
      <w:outlineLvl w:val="5"/>
    </w:pPr>
    <w:rPr>
      <w:i/>
    </w:rPr>
  </w:style>
  <w:style w:type="paragraph" w:styleId="Heading7">
    <w:name w:val="heading 7"/>
    <w:basedOn w:val="Normal"/>
    <w:next w:val="Normal"/>
    <w:link w:val="Heading7Char"/>
    <w:qFormat/>
    <w:rsid w:val="00194A51"/>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194A51"/>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194A51"/>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4A51"/>
    <w:rPr>
      <w:rFonts w:ascii="Times New Roman" w:eastAsia="Times New Roman" w:hAnsi="Times New Roman" w:cs="Times New Roman"/>
      <w:kern w:val="28"/>
      <w:szCs w:val="20"/>
    </w:rPr>
  </w:style>
  <w:style w:type="character" w:customStyle="1" w:styleId="Heading2Char">
    <w:name w:val="Heading 2 Char"/>
    <w:basedOn w:val="DefaultParagraphFont"/>
    <w:link w:val="Heading2"/>
    <w:rsid w:val="00194A51"/>
    <w:rPr>
      <w:rFonts w:ascii="Times New Roman" w:eastAsia="Times New Roman" w:hAnsi="Times New Roman" w:cs="Times New Roman"/>
      <w:kern w:val="28"/>
      <w:szCs w:val="20"/>
    </w:rPr>
  </w:style>
  <w:style w:type="character" w:customStyle="1" w:styleId="Heading3Char">
    <w:name w:val="Heading 3 Char"/>
    <w:basedOn w:val="DefaultParagraphFont"/>
    <w:link w:val="Heading3"/>
    <w:rsid w:val="00194A51"/>
    <w:rPr>
      <w:rFonts w:ascii="Arial" w:eastAsia="Times New Roman" w:hAnsi="Arial" w:cs="Times New Roman"/>
      <w:sz w:val="24"/>
      <w:szCs w:val="20"/>
    </w:rPr>
  </w:style>
  <w:style w:type="character" w:customStyle="1" w:styleId="Heading4Char">
    <w:name w:val="Heading 4 Char"/>
    <w:basedOn w:val="DefaultParagraphFont"/>
    <w:link w:val="Heading4"/>
    <w:rsid w:val="00194A51"/>
    <w:rPr>
      <w:rFonts w:ascii="Arial" w:eastAsia="Times New Roman" w:hAnsi="Arial" w:cs="Times New Roman"/>
      <w:b/>
      <w:sz w:val="24"/>
      <w:szCs w:val="20"/>
    </w:rPr>
  </w:style>
  <w:style w:type="character" w:customStyle="1" w:styleId="Heading5Char">
    <w:name w:val="Heading 5 Char"/>
    <w:basedOn w:val="DefaultParagraphFont"/>
    <w:link w:val="Heading5"/>
    <w:rsid w:val="00194A51"/>
    <w:rPr>
      <w:rFonts w:ascii="Arial" w:eastAsia="Times New Roman" w:hAnsi="Arial" w:cs="Times New Roman"/>
      <w:szCs w:val="20"/>
    </w:rPr>
  </w:style>
  <w:style w:type="character" w:customStyle="1" w:styleId="Heading6Char">
    <w:name w:val="Heading 6 Char"/>
    <w:basedOn w:val="DefaultParagraphFont"/>
    <w:link w:val="Heading6"/>
    <w:rsid w:val="00194A51"/>
    <w:rPr>
      <w:rFonts w:ascii="Times New Roman" w:eastAsia="Times New Roman" w:hAnsi="Times New Roman" w:cs="Times New Roman"/>
      <w:i/>
      <w:szCs w:val="20"/>
    </w:rPr>
  </w:style>
  <w:style w:type="character" w:customStyle="1" w:styleId="Heading7Char">
    <w:name w:val="Heading 7 Char"/>
    <w:basedOn w:val="DefaultParagraphFont"/>
    <w:link w:val="Heading7"/>
    <w:rsid w:val="00194A51"/>
    <w:rPr>
      <w:rFonts w:ascii="Arial" w:eastAsia="Times New Roman" w:hAnsi="Arial" w:cs="Times New Roman"/>
      <w:sz w:val="20"/>
      <w:szCs w:val="20"/>
    </w:rPr>
  </w:style>
  <w:style w:type="character" w:customStyle="1" w:styleId="Heading8Char">
    <w:name w:val="Heading 8 Char"/>
    <w:basedOn w:val="DefaultParagraphFont"/>
    <w:link w:val="Heading8"/>
    <w:rsid w:val="00194A51"/>
    <w:rPr>
      <w:rFonts w:ascii="Arial" w:eastAsia="Times New Roman" w:hAnsi="Arial" w:cs="Times New Roman"/>
      <w:i/>
      <w:sz w:val="20"/>
      <w:szCs w:val="20"/>
    </w:rPr>
  </w:style>
  <w:style w:type="character" w:customStyle="1" w:styleId="Heading9Char">
    <w:name w:val="Heading 9 Char"/>
    <w:basedOn w:val="DefaultParagraphFont"/>
    <w:link w:val="Heading9"/>
    <w:rsid w:val="00194A51"/>
    <w:rPr>
      <w:rFonts w:ascii="Arial" w:eastAsia="Times New Roman" w:hAnsi="Arial" w:cs="Times New Roman"/>
      <w:b/>
      <w:i/>
      <w:sz w:val="18"/>
      <w:szCs w:val="20"/>
    </w:rPr>
  </w:style>
  <w:style w:type="paragraph" w:styleId="NormalWeb">
    <w:name w:val="Normal (Web)"/>
    <w:basedOn w:val="Normal"/>
    <w:uiPriority w:val="99"/>
    <w:semiHidden/>
    <w:unhideWhenUsed/>
    <w:rsid w:val="005E724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292984">
      <w:bodyDiv w:val="1"/>
      <w:marLeft w:val="0"/>
      <w:marRight w:val="0"/>
      <w:marTop w:val="0"/>
      <w:marBottom w:val="0"/>
      <w:divBdr>
        <w:top w:val="none" w:sz="0" w:space="0" w:color="auto"/>
        <w:left w:val="none" w:sz="0" w:space="0" w:color="auto"/>
        <w:bottom w:val="none" w:sz="0" w:space="0" w:color="auto"/>
        <w:right w:val="none" w:sz="0" w:space="0" w:color="auto"/>
      </w:divBdr>
    </w:div>
    <w:div w:id="192957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Chevron</Company>
  <LinksUpToDate>false</LinksUpToDate>
  <CharactersWithSpaces>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Rutherford</dc:creator>
  <cp:lastModifiedBy>Jim Rutherford</cp:lastModifiedBy>
  <cp:revision>2</cp:revision>
  <dcterms:created xsi:type="dcterms:W3CDTF">2015-03-17T17:52:00Z</dcterms:created>
  <dcterms:modified xsi:type="dcterms:W3CDTF">2015-03-17T17:52:00Z</dcterms:modified>
</cp:coreProperties>
</file>