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w:t>
      </w:r>
      <w:r w:rsidR="00B42AB3">
        <w:rPr>
          <w:rFonts w:ascii="Microsoft Sans Serif" w:hAnsi="Microsoft Sans Serif" w:cs="Microsoft Sans Serif"/>
          <w:sz w:val="24"/>
          <w:szCs w:val="24"/>
        </w:rPr>
        <w:t>adjustment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lastRenderedPageBreak/>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Microsoft Sans Serif" w:hAnsi="Microsoft Sans Serif" w:cs="Microsoft Sans Serif"/>
                <w:color w:val="000000"/>
                <w:szCs w:val="22"/>
              </w:rPr>
            </w:pP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rsidP="001F0215">
            <w:pPr>
              <w:jc w:val="center"/>
              <w:rPr>
                <w:rFonts w:ascii="Calibri" w:hAnsi="Calibri"/>
                <w:color w:val="000000"/>
                <w:szCs w:val="22"/>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r>
      <w:tr w:rsidR="00995378" w:rsidTr="00AF69CE">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r>
    </w:tbl>
    <w:p w:rsidR="003920B8" w:rsidRDefault="00765E50"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r>
        <w:rPr>
          <w:noProof/>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w:t>
      </w:r>
      <w:r>
        <w:rPr>
          <w:rFonts w:ascii="Microsoft Sans Serif" w:hAnsi="Microsoft Sans Serif" w:cs="Microsoft Sans Serif"/>
          <w:sz w:val="24"/>
          <w:szCs w:val="24"/>
        </w:rPr>
        <w:lastRenderedPageBreak/>
        <w:t xml:space="preserve">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rFonts w:ascii="Microsoft Sans Serif" w:hAnsi="Microsoft Sans Serif" w:cs="Microsoft Sans Serif"/>
          <w:sz w:val="24"/>
          <w:szCs w:val="24"/>
        </w:rPr>
      </w:pPr>
    </w:p>
    <w:p w:rsidR="007C4BDB" w:rsidRPr="00261552" w:rsidRDefault="007C4BDB" w:rsidP="004A6F88">
      <w:pPr>
        <w:rPr>
          <w:rFonts w:ascii="Microsoft Sans Serif" w:hAnsi="Microsoft Sans Serif" w:cs="Microsoft Sans Serif"/>
          <w:sz w:val="24"/>
          <w:szCs w:val="24"/>
        </w:rPr>
      </w:pPr>
      <w:r w:rsidRPr="00261552">
        <w:rPr>
          <w:rFonts w:ascii="Microsoft Sans Serif" w:hAnsi="Microsoft Sans Serif" w:cs="Microsoft Sans Serif"/>
          <w:sz w:val="24"/>
          <w:szCs w:val="24"/>
        </w:rPr>
        <w:t>One of the severity adjustment parameters is the industry approved severity adjustment standard deviation.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w:t>
      </w:r>
      <w:r w:rsidR="00923C3B" w:rsidRPr="00923C3B">
        <w:rPr>
          <w:rFonts w:ascii="Microsoft Sans Serif" w:hAnsi="Microsoft Sans Serif" w:cs="Microsoft Sans Serif"/>
          <w:sz w:val="24"/>
          <w:szCs w:val="24"/>
        </w:rPr>
        <w:t xml:space="preserve">Unless there is clear evidence for the specific test that another approach is better, all of the parameters </w:t>
      </w:r>
      <w:r w:rsidR="00923C3B">
        <w:rPr>
          <w:rFonts w:ascii="Microsoft Sans Serif" w:hAnsi="Microsoft Sans Serif" w:cs="Microsoft Sans Serif"/>
          <w:sz w:val="24"/>
          <w:szCs w:val="24"/>
        </w:rPr>
        <w:t>should be</w:t>
      </w:r>
      <w:r w:rsidR="00923C3B" w:rsidRPr="00923C3B">
        <w:rPr>
          <w:rFonts w:ascii="Microsoft Sans Serif" w:hAnsi="Microsoft Sans Serif" w:cs="Microsoft Sans Serif"/>
          <w:sz w:val="24"/>
          <w:szCs w:val="24"/>
        </w:rPr>
        <w:t xml:space="preserve"> monitored and adjusted individually. Reference test disposition decisions </w:t>
      </w:r>
      <w:r w:rsidR="00923C3B">
        <w:rPr>
          <w:rFonts w:ascii="Microsoft Sans Serif" w:hAnsi="Microsoft Sans Serif" w:cs="Microsoft Sans Serif"/>
          <w:sz w:val="24"/>
          <w:szCs w:val="24"/>
        </w:rPr>
        <w:t xml:space="preserve">should be </w:t>
      </w:r>
      <w:r w:rsidR="00923C3B" w:rsidRPr="00923C3B">
        <w:rPr>
          <w:rFonts w:ascii="Microsoft Sans Serif" w:hAnsi="Microsoft Sans Serif" w:cs="Microsoft Sans Serif"/>
          <w:sz w:val="24"/>
          <w:szCs w:val="24"/>
        </w:rPr>
        <w:t xml:space="preserve">made based on individual parameter monitoring. Total merits </w:t>
      </w:r>
      <w:r w:rsidR="00923C3B">
        <w:rPr>
          <w:rFonts w:ascii="Microsoft Sans Serif" w:hAnsi="Microsoft Sans Serif" w:cs="Microsoft Sans Serif"/>
          <w:sz w:val="24"/>
          <w:szCs w:val="24"/>
        </w:rPr>
        <w:t>should also be</w:t>
      </w:r>
      <w:r w:rsidR="00923C3B" w:rsidRPr="00923C3B">
        <w:rPr>
          <w:rFonts w:ascii="Microsoft Sans Serif" w:hAnsi="Microsoft Sans Serif" w:cs="Microsoft Sans Serif"/>
          <w:sz w:val="24"/>
          <w:szCs w:val="24"/>
        </w:rPr>
        <w:t xml:space="preserve"> monitored.</w:t>
      </w: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lastRenderedPageBreak/>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w:t>
      </w:r>
      <w:r w:rsidR="00B42AB3">
        <w:rPr>
          <w:rFonts w:ascii="Microsoft Sans Serif" w:hAnsi="Microsoft Sans Serif" w:cs="Microsoft Sans Serif"/>
          <w:sz w:val="24"/>
          <w:szCs w:val="24"/>
        </w:rPr>
        <w:t>and etcetera</w:t>
      </w:r>
      <w:r w:rsidR="00EB23FC">
        <w:rPr>
          <w:rFonts w:ascii="Microsoft Sans Serif" w:hAnsi="Microsoft Sans Serif" w:cs="Microsoft Sans Serif"/>
          <w:sz w:val="24"/>
          <w:szCs w:val="24"/>
        </w:rPr>
        <w:t>. Concerns identified in LTMS data and in the LTMS process should be brought forward to the TGC annual review meetings.</w:t>
      </w:r>
    </w:p>
    <w:p w:rsidR="00AA73E8" w:rsidRDefault="00AA73E8" w:rsidP="00EB23FC">
      <w:pPr>
        <w:rPr>
          <w:rFonts w:ascii="Microsoft Sans Serif" w:hAnsi="Microsoft Sans Serif" w:cs="Microsoft Sans Serif"/>
          <w:sz w:val="24"/>
          <w:szCs w:val="24"/>
        </w:rPr>
      </w:pPr>
    </w:p>
    <w:p w:rsidR="00AA73E8" w:rsidRDefault="00AA73E8" w:rsidP="00AA73E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v. </w:t>
      </w:r>
      <w:r>
        <w:rPr>
          <w:rFonts w:ascii="Microsoft Sans Serif" w:hAnsi="Microsoft Sans Serif" w:cs="Microsoft Sans Serif"/>
          <w:sz w:val="24"/>
          <w:szCs w:val="24"/>
          <w:u w:val="single"/>
        </w:rPr>
        <w:t>LTMS documentation</w:t>
      </w:r>
    </w:p>
    <w:p w:rsidR="00AA73E8" w:rsidRDefault="00AA73E8" w:rsidP="00AA73E8">
      <w:pPr>
        <w:rPr>
          <w:rFonts w:ascii="Microsoft Sans Serif" w:hAnsi="Microsoft Sans Serif" w:cs="Microsoft Sans Serif"/>
          <w:sz w:val="24"/>
          <w:szCs w:val="24"/>
        </w:rPr>
      </w:pPr>
    </w:p>
    <w:p w:rsidR="00C409A1" w:rsidRDefault="00AA73E8"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It is very desirable that we have consistent documentation of LTMS for individual test types. </w:t>
      </w:r>
      <w:r w:rsidR="00C409A1">
        <w:rPr>
          <w:rFonts w:ascii="Microsoft Sans Serif" w:hAnsi="Microsoft Sans Serif" w:cs="Microsoft Sans Serif"/>
          <w:sz w:val="24"/>
          <w:szCs w:val="24"/>
        </w:rPr>
        <w:t>Someone needing th</w:t>
      </w:r>
      <w:r w:rsidR="00EC5049">
        <w:rPr>
          <w:rFonts w:ascii="Microsoft Sans Serif" w:hAnsi="Microsoft Sans Serif" w:cs="Microsoft Sans Serif"/>
          <w:sz w:val="24"/>
          <w:szCs w:val="24"/>
        </w:rPr>
        <w:t>is</w:t>
      </w:r>
      <w:r w:rsidR="00C409A1">
        <w:rPr>
          <w:rFonts w:ascii="Microsoft Sans Serif" w:hAnsi="Microsoft Sans Serif" w:cs="Microsoft Sans Serif"/>
          <w:sz w:val="24"/>
          <w:szCs w:val="24"/>
        </w:rPr>
        <w:t xml:space="preserve"> information should be able to find it in an analogous place regardless of test type. </w:t>
      </w:r>
    </w:p>
    <w:p w:rsidR="00C409A1" w:rsidRDefault="00C409A1" w:rsidP="00AA73E8">
      <w:pPr>
        <w:rPr>
          <w:rFonts w:ascii="Microsoft Sans Serif" w:hAnsi="Microsoft Sans Serif" w:cs="Microsoft Sans Serif"/>
          <w:sz w:val="24"/>
          <w:szCs w:val="24"/>
        </w:rPr>
      </w:pPr>
    </w:p>
    <w:p w:rsidR="00C409A1" w:rsidRDefault="00C409A1" w:rsidP="00AA73E8">
      <w:pPr>
        <w:rPr>
          <w:rFonts w:ascii="Microsoft Sans Serif" w:hAnsi="Microsoft Sans Serif" w:cs="Microsoft Sans Serif"/>
          <w:sz w:val="24"/>
          <w:szCs w:val="24"/>
        </w:rPr>
      </w:pPr>
      <w:r>
        <w:rPr>
          <w:rFonts w:ascii="Microsoft Sans Serif" w:hAnsi="Microsoft Sans Serif" w:cs="Microsoft Sans Serif"/>
          <w:sz w:val="24"/>
          <w:szCs w:val="24"/>
        </w:rPr>
        <w:t>S</w:t>
      </w:r>
      <w:r w:rsidR="00AA73E8">
        <w:rPr>
          <w:rFonts w:ascii="Microsoft Sans Serif" w:hAnsi="Microsoft Sans Serif" w:cs="Microsoft Sans Serif"/>
          <w:sz w:val="24"/>
          <w:szCs w:val="24"/>
        </w:rPr>
        <w:t xml:space="preserve">ome aspects of LTMS are </w:t>
      </w:r>
      <w:r w:rsidR="00075E5F">
        <w:rPr>
          <w:rFonts w:ascii="Microsoft Sans Serif" w:hAnsi="Microsoft Sans Serif" w:cs="Microsoft Sans Serif"/>
          <w:sz w:val="24"/>
          <w:szCs w:val="24"/>
        </w:rPr>
        <w:t xml:space="preserve">more permanent and more logically contained in the test method. </w:t>
      </w:r>
      <w:r>
        <w:rPr>
          <w:rFonts w:ascii="Microsoft Sans Serif" w:hAnsi="Microsoft Sans Serif" w:cs="Microsoft Sans Serif"/>
          <w:sz w:val="24"/>
          <w:szCs w:val="24"/>
        </w:rPr>
        <w:t xml:space="preserve">As part of the test method, they are subject to revision by information letter. This includes definitions of new laboratories and new stands, specification of basic reference intervals, reference oil targets, </w:t>
      </w:r>
      <w:r w:rsidR="0046475E">
        <w:rPr>
          <w:rFonts w:ascii="Microsoft Sans Serif" w:hAnsi="Microsoft Sans Serif" w:cs="Microsoft Sans Serif"/>
          <w:sz w:val="24"/>
          <w:szCs w:val="24"/>
        </w:rPr>
        <w:t xml:space="preserve">and </w:t>
      </w:r>
      <w:r>
        <w:rPr>
          <w:rFonts w:ascii="Microsoft Sans Serif" w:hAnsi="Microsoft Sans Serif" w:cs="Microsoft Sans Serif"/>
          <w:sz w:val="24"/>
          <w:szCs w:val="24"/>
        </w:rPr>
        <w:t>implications of exceeding LTMS limits</w:t>
      </w:r>
      <w:r w:rsidR="0046475E">
        <w:rPr>
          <w:rFonts w:ascii="Microsoft Sans Serif" w:hAnsi="Microsoft Sans Serif" w:cs="Microsoft Sans Serif"/>
          <w:sz w:val="24"/>
          <w:szCs w:val="24"/>
        </w:rPr>
        <w:t>.</w:t>
      </w:r>
      <w:r>
        <w:rPr>
          <w:rFonts w:ascii="Microsoft Sans Serif" w:hAnsi="Microsoft Sans Serif" w:cs="Microsoft Sans Serif"/>
          <w:sz w:val="24"/>
          <w:szCs w:val="24"/>
        </w:rPr>
        <w:t xml:space="preserve"> </w:t>
      </w:r>
    </w:p>
    <w:p w:rsidR="00C409A1" w:rsidRDefault="00C409A1" w:rsidP="00AA73E8">
      <w:pPr>
        <w:rPr>
          <w:rFonts w:ascii="Microsoft Sans Serif" w:hAnsi="Microsoft Sans Serif" w:cs="Microsoft Sans Serif"/>
          <w:sz w:val="24"/>
          <w:szCs w:val="24"/>
        </w:rPr>
      </w:pPr>
    </w:p>
    <w:p w:rsidR="00AA73E8" w:rsidRPr="001A55BA" w:rsidRDefault="00075E5F"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Other parts of LTMS definition are more transient. They might be subject to periodic update or tunable during the annual review. </w:t>
      </w:r>
      <w:r w:rsidR="0046475E">
        <w:rPr>
          <w:rFonts w:ascii="Microsoft Sans Serif" w:hAnsi="Microsoft Sans Serif" w:cs="Microsoft Sans Serif"/>
          <w:sz w:val="24"/>
          <w:szCs w:val="24"/>
        </w:rPr>
        <w:t xml:space="preserve">Changes are suggested by data and analyses. </w:t>
      </w:r>
      <w:r w:rsidR="00C409A1">
        <w:rPr>
          <w:rFonts w:ascii="Microsoft Sans Serif" w:hAnsi="Microsoft Sans Serif" w:cs="Microsoft Sans Serif"/>
          <w:sz w:val="24"/>
          <w:szCs w:val="24"/>
        </w:rPr>
        <w:t xml:space="preserve">They are subject to the consensus and timing guidelines as specified in section K, below. </w:t>
      </w:r>
      <w:r>
        <w:rPr>
          <w:rFonts w:ascii="Microsoft Sans Serif" w:hAnsi="Microsoft Sans Serif" w:cs="Microsoft Sans Serif"/>
          <w:sz w:val="24"/>
          <w:szCs w:val="24"/>
        </w:rPr>
        <w:t xml:space="preserve">These latter </w:t>
      </w:r>
      <w:r w:rsidR="00C409A1">
        <w:rPr>
          <w:rFonts w:ascii="Microsoft Sans Serif" w:hAnsi="Microsoft Sans Serif" w:cs="Microsoft Sans Serif"/>
          <w:sz w:val="24"/>
          <w:szCs w:val="24"/>
        </w:rPr>
        <w:t>aspects</w:t>
      </w:r>
      <w:r>
        <w:rPr>
          <w:rFonts w:ascii="Microsoft Sans Serif" w:hAnsi="Microsoft Sans Serif" w:cs="Microsoft Sans Serif"/>
          <w:sz w:val="24"/>
          <w:szCs w:val="24"/>
        </w:rPr>
        <w:t xml:space="preserve"> should be documented </w:t>
      </w:r>
      <w:r w:rsidR="00EC5049">
        <w:rPr>
          <w:rFonts w:ascii="Microsoft Sans Serif" w:hAnsi="Microsoft Sans Serif" w:cs="Microsoft Sans Serif"/>
          <w:sz w:val="24"/>
          <w:szCs w:val="24"/>
        </w:rPr>
        <w:t>in a compendium of test type specific LTMS parameters maintained by the Test Monitoring Center.</w:t>
      </w:r>
      <w:r>
        <w:rPr>
          <w:rFonts w:ascii="Microsoft Sans Serif" w:hAnsi="Microsoft Sans Serif" w:cs="Microsoft Sans Serif"/>
          <w:sz w:val="24"/>
          <w:szCs w:val="24"/>
        </w:rPr>
        <w:t xml:space="preserve"> </w:t>
      </w:r>
      <w:r w:rsidR="0046475E">
        <w:rPr>
          <w:rFonts w:ascii="Microsoft Sans Serif" w:hAnsi="Microsoft Sans Serif" w:cs="Microsoft Sans Serif"/>
          <w:sz w:val="24"/>
          <w:szCs w:val="24"/>
        </w:rPr>
        <w:t xml:space="preserve">They include reference oil standard deviations, limits for </w:t>
      </w:r>
      <w:r w:rsidR="00F92A53">
        <w:rPr>
          <w:rFonts w:ascii="Microsoft Sans Serif" w:hAnsi="Microsoft Sans Serif" w:cs="Microsoft Sans Serif"/>
          <w:sz w:val="24"/>
          <w:szCs w:val="24"/>
        </w:rPr>
        <w:t>e</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and Z</w:t>
      </w:r>
      <w:r w:rsidR="00712E1C" w:rsidRPr="00712E1C">
        <w:rPr>
          <w:rFonts w:ascii="Microsoft Sans Serif" w:hAnsi="Microsoft Sans Serif" w:cs="Microsoft Sans Serif"/>
          <w:sz w:val="24"/>
          <w:szCs w:val="24"/>
          <w:vertAlign w:val="subscript"/>
        </w:rPr>
        <w:t xml:space="preserve">i </w:t>
      </w:r>
      <w:r w:rsidR="0046475E">
        <w:rPr>
          <w:rFonts w:ascii="Microsoft Sans Serif" w:hAnsi="Microsoft Sans Serif" w:cs="Microsoft Sans Serif"/>
          <w:sz w:val="24"/>
          <w:szCs w:val="24"/>
        </w:rPr>
        <w:t>monitoring, and lambdas for Z</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calculations. </w:t>
      </w:r>
    </w:p>
    <w:p w:rsidR="001A55BA" w:rsidRPr="001A55BA" w:rsidRDefault="001A55BA"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40182F" w:rsidRP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w:t>
      </w:r>
      <w:r w:rsidRPr="00F52668">
        <w:rPr>
          <w:rFonts w:ascii="Microsoft Sans Serif" w:hAnsi="Microsoft Sans Serif" w:cs="Microsoft Sans Serif"/>
        </w:rPr>
        <w:lastRenderedPageBreak/>
        <w:t xml:space="preserve">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40182F" w:rsidRPr="00F52668" w:rsidTr="00447E6A">
        <w:trPr>
          <w:jc w:val="center"/>
        </w:trPr>
        <w:tc>
          <w:tcPr>
            <w:tcW w:w="2592"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40182F" w:rsidRPr="00F52668" w:rsidTr="00447E6A">
        <w:trPr>
          <w:jc w:val="center"/>
        </w:trPr>
        <w:tc>
          <w:tcPr>
            <w:tcW w:w="2592" w:type="dxa"/>
            <w:tcBorders>
              <w:top w:val="double" w:sz="4" w:space="0" w:color="auto"/>
              <w:bottom w:val="single" w:sz="6" w:space="0" w:color="000000"/>
            </w:tcBorders>
          </w:tcPr>
          <w:p w:rsidR="0040182F" w:rsidRPr="00F52668" w:rsidRDefault="0040182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40182F" w:rsidRPr="00F52668" w:rsidRDefault="0040182F" w:rsidP="00447E6A">
            <w:pPr>
              <w:ind w:firstLine="144"/>
              <w:jc w:val="center"/>
              <w:rPr>
                <w:rFonts w:ascii="Microsoft Sans Serif" w:hAnsi="Microsoft Sans Serif" w:cs="Microsoft Sans Serif"/>
              </w:rPr>
            </w:pPr>
          </w:p>
        </w:tc>
      </w:tr>
      <w:tr w:rsidR="0040182F" w:rsidRPr="00F52668" w:rsidTr="00447E6A">
        <w:trPr>
          <w:jc w:val="center"/>
        </w:trPr>
        <w:tc>
          <w:tcPr>
            <w:tcW w:w="2592" w:type="dxa"/>
          </w:tcPr>
          <w:p w:rsidR="0040182F" w:rsidRPr="00F52668" w:rsidRDefault="0040182F" w:rsidP="00447E6A">
            <w:pPr>
              <w:ind w:firstLine="144"/>
              <w:jc w:val="center"/>
              <w:rPr>
                <w:rFonts w:ascii="Microsoft Sans Serif" w:hAnsi="Microsoft Sans Serif" w:cs="Microsoft Sans Serif"/>
              </w:rPr>
            </w:pPr>
          </w:p>
        </w:tc>
        <w:tc>
          <w:tcPr>
            <w:tcW w:w="2736" w:type="dxa"/>
          </w:tcPr>
          <w:p w:rsidR="0040182F" w:rsidRPr="00F52668" w:rsidRDefault="0040182F" w:rsidP="00447E6A">
            <w:pPr>
              <w:ind w:firstLine="144"/>
              <w:jc w:val="center"/>
              <w:rPr>
                <w:rFonts w:ascii="Microsoft Sans Serif" w:hAnsi="Microsoft Sans Serif" w:cs="Microsoft Sans Serif"/>
              </w:rPr>
            </w:pPr>
          </w:p>
        </w:tc>
      </w:tr>
      <w:tr w:rsidR="0040182F" w:rsidRPr="00F52668" w:rsidTr="00447E6A">
        <w:trPr>
          <w:jc w:val="center"/>
        </w:trPr>
        <w:tc>
          <w:tcPr>
            <w:tcW w:w="2592" w:type="dxa"/>
          </w:tcPr>
          <w:p w:rsidR="0040182F" w:rsidRPr="00F52668" w:rsidRDefault="0040182F" w:rsidP="00447E6A">
            <w:pPr>
              <w:ind w:firstLine="144"/>
              <w:jc w:val="center"/>
              <w:rPr>
                <w:rFonts w:ascii="Microsoft Sans Serif" w:hAnsi="Microsoft Sans Serif" w:cs="Microsoft Sans Serif"/>
              </w:rPr>
            </w:pPr>
          </w:p>
        </w:tc>
        <w:tc>
          <w:tcPr>
            <w:tcW w:w="2736" w:type="dxa"/>
          </w:tcPr>
          <w:p w:rsidR="0040182F" w:rsidRPr="00F52668" w:rsidRDefault="0040182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447E6A">
        <w:trPr>
          <w:jc w:val="center"/>
        </w:trPr>
        <w:tc>
          <w:tcPr>
            <w:tcW w:w="2592"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193CBC" w:rsidRPr="00F52668" w:rsidTr="00447E6A">
        <w:trPr>
          <w:jc w:val="center"/>
        </w:trPr>
        <w:tc>
          <w:tcPr>
            <w:tcW w:w="2592" w:type="dxa"/>
            <w:tcBorders>
              <w:top w:val="double" w:sz="4" w:space="0" w:color="auto"/>
            </w:tcBorders>
          </w:tcPr>
          <w:p w:rsidR="00193CBC" w:rsidRPr="00F52668" w:rsidRDefault="00193CBC" w:rsidP="00447E6A">
            <w:pPr>
              <w:ind w:firstLine="144"/>
              <w:jc w:val="center"/>
              <w:rPr>
                <w:rFonts w:ascii="Microsoft Sans Serif" w:hAnsi="Microsoft Sans Serif" w:cs="Microsoft Sans Serif"/>
              </w:rPr>
            </w:pPr>
          </w:p>
        </w:tc>
        <w:tc>
          <w:tcPr>
            <w:tcW w:w="2736" w:type="dxa"/>
            <w:tcBorders>
              <w:top w:val="double" w:sz="4" w:space="0" w:color="auto"/>
            </w:tcBorders>
          </w:tcPr>
          <w:p w:rsidR="00193CBC" w:rsidRPr="00F52668" w:rsidRDefault="00193CBC" w:rsidP="00447E6A">
            <w:pPr>
              <w:ind w:firstLine="144"/>
              <w:jc w:val="center"/>
              <w:rPr>
                <w:rFonts w:ascii="Microsoft Sans Serif" w:hAnsi="Microsoft Sans Serif" w:cs="Microsoft Sans Serif"/>
              </w:rPr>
            </w:pPr>
          </w:p>
        </w:tc>
      </w:tr>
      <w:tr w:rsidR="00193CBC" w:rsidRPr="00F52668" w:rsidTr="00447E6A">
        <w:trPr>
          <w:jc w:val="center"/>
        </w:trPr>
        <w:tc>
          <w:tcPr>
            <w:tcW w:w="2592" w:type="dxa"/>
          </w:tcPr>
          <w:p w:rsidR="00193CBC" w:rsidRPr="00F52668" w:rsidRDefault="00193CBC" w:rsidP="00447E6A">
            <w:pPr>
              <w:ind w:firstLine="144"/>
              <w:jc w:val="center"/>
              <w:rPr>
                <w:rFonts w:ascii="Microsoft Sans Serif" w:hAnsi="Microsoft Sans Serif" w:cs="Microsoft Sans Serif"/>
              </w:rPr>
            </w:pPr>
          </w:p>
        </w:tc>
        <w:tc>
          <w:tcPr>
            <w:tcW w:w="2736" w:type="dxa"/>
          </w:tcPr>
          <w:p w:rsidR="00193CBC" w:rsidRPr="00F52668" w:rsidRDefault="00193CBC" w:rsidP="00447E6A">
            <w:pPr>
              <w:ind w:firstLine="144"/>
              <w:jc w:val="center"/>
              <w:rPr>
                <w:rFonts w:ascii="Microsoft Sans Serif" w:hAnsi="Microsoft Sans Serif" w:cs="Microsoft Sans Serif"/>
              </w:rPr>
            </w:pPr>
          </w:p>
        </w:tc>
      </w:tr>
      <w:tr w:rsidR="00193CBC" w:rsidRPr="00F52668" w:rsidTr="00447E6A">
        <w:trPr>
          <w:jc w:val="center"/>
        </w:trPr>
        <w:tc>
          <w:tcPr>
            <w:tcW w:w="2592" w:type="dxa"/>
          </w:tcPr>
          <w:p w:rsidR="00193CBC" w:rsidRPr="00F52668" w:rsidRDefault="00193CBC" w:rsidP="00447E6A">
            <w:pPr>
              <w:ind w:firstLine="144"/>
              <w:jc w:val="center"/>
              <w:rPr>
                <w:rFonts w:ascii="Microsoft Sans Serif" w:hAnsi="Microsoft Sans Serif" w:cs="Microsoft Sans Serif"/>
              </w:rPr>
            </w:pPr>
          </w:p>
        </w:tc>
        <w:tc>
          <w:tcPr>
            <w:tcW w:w="2736" w:type="dxa"/>
          </w:tcPr>
          <w:p w:rsidR="00193CBC" w:rsidRPr="00F52668" w:rsidRDefault="00193CBC"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1179D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6D18AA" w:rsidRDefault="006D18AA"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w:t>
      </w:r>
      <w:r w:rsidRPr="00F52668">
        <w:rPr>
          <w:rFonts w:ascii="Microsoft Sans Serif" w:hAnsi="Microsoft Sans Serif" w:cs="Microsoft Sans Serif"/>
        </w:rPr>
        <w:lastRenderedPageBreak/>
        <w:t xml:space="preserve">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E964EC">
        <w:rPr>
          <w:rFonts w:ascii="Microsoft Sans Serif" w:hAnsi="Microsoft Sans Serif" w:cs="Microsoft Sans Serif"/>
        </w:rPr>
        <w:t>Excessive influence (</w:t>
      </w:r>
      <w:r w:rsidR="00806EBB">
        <w:rPr>
          <w:rFonts w:ascii="Microsoft Sans Serif" w:hAnsi="Microsoft Sans Serif" w:cs="Microsoft Sans Serif"/>
        </w:rPr>
        <w:t>ExI</w:t>
      </w:r>
      <w:r w:rsidR="00E964EC">
        <w:rPr>
          <w:rFonts w:ascii="Microsoft Sans Serif" w:hAnsi="Microsoft Sans Serif" w:cs="Microsoft Sans Serif"/>
        </w:rPr>
        <w:t>)</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8078EB" w:rsidRPr="00F52668" w:rsidRDefault="008078EB" w:rsidP="008078EB">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12E1C" w:rsidRDefault="00712E1C" w:rsidP="00712E1C">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F07DCF" w:rsidRPr="00F52668" w:rsidRDefault="008078EB"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xml:space="preserve">≤ </w:t>
      </w:r>
      <w:r w:rsidR="0037128A">
        <w:rPr>
          <w:rFonts w:ascii="Microsoft Sans Serif" w:hAnsi="Microsoft Sans Serif" w:cs="Microsoft Sans Serif"/>
        </w:rPr>
        <w:t>Z</w:t>
      </w:r>
      <w:r w:rsidR="0037128A">
        <w:rPr>
          <w:rFonts w:ascii="Microsoft Sans Serif" w:hAnsi="Microsoft Sans Serif" w:cs="Microsoft Sans Serif"/>
          <w:vertAlign w:val="subscript"/>
        </w:rPr>
        <w:t>e</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B38" w:rsidRDefault="00F07B38" w:rsidP="00F07B3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r>
        <w:rPr>
          <w:rFonts w:ascii="Microsoft Sans Serif" w:hAnsi="Microsoft Sans Serif" w:cs="Microsoft Sans Serif"/>
        </w:rPr>
        <w:t xml:space="preserve"> </w:t>
      </w:r>
    </w:p>
    <w:p w:rsidR="00193CBC"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193CBC"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lastRenderedPageBreak/>
        <w:t>TMC COMPENDIUM PORTION</w:t>
      </w:r>
    </w:p>
    <w:p w:rsidR="00193CBC" w:rsidRPr="0040182F"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nil"/>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bottom w:val="single" w:sz="6" w:space="0" w:color="000000"/>
            </w:tcBorders>
          </w:tcPr>
          <w:p w:rsidR="00193CBC" w:rsidRPr="00F52668" w:rsidRDefault="00193CBC" w:rsidP="00977051">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bl>
    <w:p w:rsidR="00193CBC" w:rsidRPr="00F52668" w:rsidRDefault="00193CBC" w:rsidP="00193CBC">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tcBorders>
          </w:tcPr>
          <w:p w:rsidR="00193CBC" w:rsidRPr="00F52668" w:rsidRDefault="00193CBC" w:rsidP="00977051">
            <w:pPr>
              <w:ind w:firstLine="144"/>
              <w:jc w:val="center"/>
              <w:rPr>
                <w:rFonts w:ascii="Microsoft Sans Serif" w:hAnsi="Microsoft Sans Serif" w:cs="Microsoft Sans Serif"/>
              </w:rPr>
            </w:pPr>
          </w:p>
        </w:tc>
        <w:tc>
          <w:tcPr>
            <w:tcW w:w="2736" w:type="dxa"/>
            <w:tcBorders>
              <w:top w:val="double" w:sz="4" w:space="0" w:color="auto"/>
            </w:tcBorders>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bl>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 xml:space="preserve">Adjustment </w:t>
      </w:r>
      <w:r>
        <w:rPr>
          <w:rFonts w:ascii="Microsoft Sans Serif" w:hAnsi="Microsoft Sans Serif" w:cs="Microsoft Sans Serif"/>
        </w:rPr>
        <w:t>(Z</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 xml:space="preserve">and Monitoring </w:t>
      </w:r>
      <w:r>
        <w:rPr>
          <w:rFonts w:ascii="Microsoft Sans Serif" w:hAnsi="Microsoft Sans Serif" w:cs="Microsoft Sans Serif"/>
        </w:rPr>
        <w:t>(e</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Charts</w:t>
      </w:r>
    </w:p>
    <w:p w:rsidR="00193CBC" w:rsidRPr="00F52668" w:rsidRDefault="00193CBC"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193CBC" w:rsidRPr="00F52668" w:rsidRDefault="00193CBC" w:rsidP="00193CBC">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In Section 1, the construction of the adjustment and monitoring charts used in the Lubricant Test Monitoring System are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193CBC" w:rsidRDefault="00193CBC" w:rsidP="00193CBC">
      <w:pPr>
        <w:rPr>
          <w:rFonts w:ascii="Microsoft Sans Serif" w:hAnsi="Microsoft Sans Serif" w:cs="Microsoft Sans Serif"/>
        </w:rPr>
      </w:pPr>
    </w:p>
    <w:p w:rsidR="00193CBC" w:rsidRPr="00F52668" w:rsidRDefault="00193CBC" w:rsidP="00193CBC">
      <w:pPr>
        <w:pStyle w:val="BodyTextIndent3"/>
        <w:tabs>
          <w:tab w:val="left" w:pos="0"/>
        </w:tabs>
        <w:rPr>
          <w:rFonts w:ascii="Microsoft Sans Serif" w:hAnsi="Microsoft Sans Serif" w:cs="Microsoft Sans Serif"/>
        </w:rPr>
      </w:pPr>
    </w:p>
    <w:p w:rsidR="00193CBC" w:rsidRPr="00F52668" w:rsidRDefault="00193CBC" w:rsidP="00193CBC">
      <w:pPr>
        <w:pStyle w:val="BodyTextIndent3"/>
        <w:tabs>
          <w:tab w:val="left" w:pos="0"/>
        </w:tabs>
        <w:rPr>
          <w:rFonts w:ascii="Microsoft Sans Serif" w:hAnsi="Microsoft Sans Serif" w:cs="Microsoft Sans Serif"/>
        </w:rPr>
      </w:pPr>
    </w:p>
    <w:p w:rsidR="00193CBC" w:rsidRDefault="00193CBC">
      <w:pPr>
        <w:rPr>
          <w:rFonts w:ascii="Microsoft Sans Serif" w:hAnsi="Microsoft Sans Serif" w:cs="Microsoft Sans Serif"/>
        </w:rPr>
      </w:pPr>
      <w:r>
        <w:rPr>
          <w:rFonts w:ascii="Microsoft Sans Serif" w:hAnsi="Microsoft Sans Serif" w:cs="Microsoft Sans Serif"/>
        </w:rPr>
        <w:br w:type="page"/>
      </w: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193CBC" w:rsidRPr="00F52668" w:rsidTr="0097705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244300" w:rsidRDefault="00193CBC" w:rsidP="00977051">
            <w:pPr>
              <w:jc w:val="center"/>
              <w:rPr>
                <w:rFonts w:ascii="Calibri" w:hAnsi="Calibri"/>
                <w:color w:val="000000"/>
                <w:szCs w:val="22"/>
              </w:rPr>
            </w:pPr>
            <w:r>
              <w:rPr>
                <w:rFonts w:ascii="Calibri" w:hAnsi="Calibri"/>
                <w:color w:val="000000"/>
                <w:szCs w:val="22"/>
              </w:rPr>
              <w:t>TBD</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bl>
    <w:p w:rsidR="00193CBC" w:rsidRDefault="00193CBC" w:rsidP="00193CBC">
      <w:pPr>
        <w:rPr>
          <w:rFonts w:ascii="Microsoft Sans Serif" w:hAnsi="Microsoft Sans Serif" w:cs="Microsoft Sans Serif"/>
        </w:rPr>
      </w:pPr>
    </w:p>
    <w:p w:rsidR="00193CBC" w:rsidRDefault="00193CBC" w:rsidP="00193CBC">
      <w:pPr>
        <w:pStyle w:val="BodyTextIndent3"/>
        <w:tabs>
          <w:tab w:val="left" w:pos="0"/>
        </w:tabs>
        <w:jc w:val="center"/>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193CBC"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 xml:space="preserve">Reference Period Extension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w:t>
      </w:r>
      <w:r>
        <w:rPr>
          <w:rFonts w:ascii="Microsoft Sans Serif" w:hAnsi="Microsoft Sans Serif" w:cs="Microsoft Sans Serif"/>
        </w:rPr>
        <w:t>Reference Period</w:t>
      </w:r>
      <w:r>
        <w:rPr>
          <w:rFonts w:ascii="Microsoft Sans Serif" w:hAnsi="Microsoft Sans Serif" w:cs="Microsoft Sans Serif"/>
        </w:rPr>
        <w:t xml:space="preserve"> </w:t>
      </w:r>
      <w:r>
        <w:rPr>
          <w:rFonts w:ascii="Microsoft Sans Serif" w:hAnsi="Microsoft Sans Serif" w:cs="Microsoft Sans Serif"/>
        </w:rPr>
        <w:t xml:space="preserve">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Style w:val="TableGrid"/>
        <w:tblW w:w="3280" w:type="dxa"/>
        <w:jc w:val="center"/>
        <w:tblLook w:val="04A0"/>
      </w:tblPr>
      <w:tblGrid>
        <w:gridCol w:w="1537"/>
        <w:gridCol w:w="1743"/>
      </w:tblGrid>
      <w:tr w:rsidR="00193CBC" w:rsidRPr="00F52668" w:rsidTr="00977051">
        <w:trPr>
          <w:trHeight w:val="300"/>
          <w:jc w:val="center"/>
        </w:trPr>
        <w:tc>
          <w:tcPr>
            <w:tcW w:w="1537"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193CBC"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bl>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Default="00193CBC">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15pt;height:38.7pt" o:ole="">
            <v:imagedata r:id="rId11" o:title=""/>
          </v:shape>
          <o:OLEObject Type="Embed" ProgID="Equation.3" ShapeID="_x0000_i1026" DrawAspect="Content" ObjectID="_1346513072"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4.9pt;height:38.7pt" o:ole="">
            <v:imagedata r:id="rId13" o:title=""/>
          </v:shape>
          <o:OLEObject Type="Embed" ProgID="Equation.3" ShapeID="_x0000_i1027" DrawAspect="Content" ObjectID="_1346513073"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5pt;height:27.85pt" o:ole="">
            <v:imagedata r:id="rId15" o:title=""/>
          </v:shape>
          <o:OLEObject Type="Embed" ProgID="Equation.3" ShapeID="_x0000_i1028" DrawAspect="Content" ObjectID="_1346513074"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7pt;height:27.85pt" o:ole="">
            <v:imagedata r:id="rId17" o:title=""/>
          </v:shape>
          <o:OLEObject Type="Embed" ProgID="Equation.3" ShapeID="_x0000_i1029" DrawAspect="Content" ObjectID="_1346513075"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45pt;height:27.85pt" o:ole="">
            <v:imagedata r:id="rId19" o:title=""/>
          </v:shape>
          <o:OLEObject Type="Embed" ProgID="Equation.3" ShapeID="_x0000_i1030" DrawAspect="Content" ObjectID="_1346513076"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w:t>
      </w:r>
      <w:r w:rsidR="00B42AB3">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w:t>
      </w:r>
      <w:r w:rsidR="00B42AB3">
        <w:rPr>
          <w:rFonts w:ascii="Microsoft Sans Serif" w:hAnsi="Microsoft Sans Serif" w:cs="Microsoft Sans Serif"/>
          <w:sz w:val="24"/>
          <w:szCs w:val="24"/>
        </w:rPr>
        <w:t xml:space="preserve">independent and identically distributed as </w:t>
      </w:r>
      <w:r w:rsidR="00B42AB3" w:rsidRPr="00F52668">
        <w:rPr>
          <w:rFonts w:ascii="Microsoft Sans Serif" w:hAnsi="Microsoft Sans Serif" w:cs="Microsoft Sans Serif"/>
          <w:sz w:val="24"/>
          <w:szCs w:val="24"/>
        </w:rPr>
        <w:t xml:space="preserve"> </w:t>
      </w:r>
      <w:r w:rsidR="00865B04" w:rsidRPr="00F52668">
        <w:rPr>
          <w:rFonts w:ascii="Microsoft Sans Serif" w:hAnsi="Microsoft Sans Serif" w:cs="Microsoft Sans Serif"/>
          <w:sz w:val="24"/>
          <w:szCs w:val="24"/>
        </w:rPr>
        <w:t>N(0,</w:t>
      </w:r>
      <w:r w:rsidR="00865B04" w:rsidRPr="00F52668">
        <w:rPr>
          <w:rFonts w:ascii="Microsoft Sans Serif" w:hAnsi="Microsoft Sans Serif" w:cs="Microsoft Sans Serif"/>
          <w:position w:val="-14"/>
          <w:sz w:val="24"/>
          <w:szCs w:val="24"/>
        </w:rPr>
        <w:object w:dxaOrig="400" w:dyaOrig="440">
          <v:shape id="_x0000_i1031" type="#_x0000_t75" style="width:19.95pt;height:23pt" o:ole="">
            <v:imagedata r:id="rId21" o:title=""/>
          </v:shape>
          <o:OLEObject Type="Embed" ProgID="Equation.3" ShapeID="_x0000_i1031" DrawAspect="Content" ObjectID="_1346513077"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19.95pt;height:23pt" o:ole="">
            <v:imagedata r:id="rId23" o:title=""/>
          </v:shape>
          <o:OLEObject Type="Embed" ProgID="Equation.3" ShapeID="_x0000_i1032" DrawAspect="Content" ObjectID="_1346513078"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19.95pt;height:23pt" o:ole="">
            <v:imagedata r:id="rId25" o:title=""/>
          </v:shape>
          <o:OLEObject Type="Embed" ProgID="Equation.3" ShapeID="_x0000_i1033" DrawAspect="Content" ObjectID="_1346513079"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w:t>
      </w:r>
      <w:r w:rsidR="001107A9">
        <w:rPr>
          <w:rFonts w:ascii="Microsoft Sans Serif" w:hAnsi="Microsoft Sans Serif" w:cs="Microsoft Sans Serif"/>
          <w:sz w:val="24"/>
          <w:szCs w:val="24"/>
        </w:rPr>
        <w:lastRenderedPageBreak/>
        <w:t xml:space="preserve">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765E50">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712E1C">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006856" cy="6018028"/>
            <wp:effectExtent l="0" t="0" r="3544"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01000" cy="6035634"/>
                      <a:chOff x="457200" y="332096"/>
                      <a:chExt cx="8001000" cy="6035634"/>
                    </a:xfrm>
                  </a:grpSpPr>
                  <a:grpSp>
                    <a:nvGrpSpPr>
                      <a:cNvPr id="59" name="Group 58"/>
                      <a:cNvGrpSpPr/>
                    </a:nvGrpSpPr>
                    <a:grpSpPr>
                      <a:xfrm>
                        <a:off x="457200" y="332096"/>
                        <a:ext cx="8001000" cy="6035634"/>
                        <a:chOff x="457200" y="332096"/>
                        <a:chExt cx="8001000" cy="6035634"/>
                      </a:xfrm>
                    </a:grpSpPr>
                    <a:sp>
                      <a:nvSpPr>
                        <a:cNvPr id="2050" name="AutoShape 4"/>
                        <a:cNvSpPr>
                          <a:spLocks noChangeArrowheads="1"/>
                        </a:cNvSpPr>
                      </a:nvSpPr>
                      <a:spPr bwMode="auto">
                        <a:xfrm>
                          <a:off x="4572000" y="3072444"/>
                          <a:ext cx="1076325" cy="796504"/>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Run 3 </a:t>
                            </a:r>
                            <a:r>
                              <a:rPr lang="en-US" sz="900" dirty="0" smtClean="0">
                                <a:solidFill>
                                  <a:srgbClr val="000000"/>
                                </a:solidFill>
                                <a:latin typeface="Tahoma" pitchFamily="34" charset="0"/>
                                <a:cs typeface="Tahoma" pitchFamily="34" charset="0"/>
                              </a:rPr>
                              <a:t>valid reference or matrix tests </a:t>
                            </a:r>
                            <a:r>
                              <a:rPr lang="en-US" sz="900" dirty="0">
                                <a:solidFill>
                                  <a:srgbClr val="000000"/>
                                </a:solidFill>
                                <a:latin typeface="Tahoma" pitchFamily="34" charset="0"/>
                                <a:cs typeface="Tahoma" pitchFamily="34" charset="0"/>
                              </a:rPr>
                              <a:t>in the </a:t>
                            </a:r>
                            <a:r>
                              <a:rPr lang="en-US" sz="900" dirty="0" smtClean="0">
                                <a:solidFill>
                                  <a:srgbClr val="000000"/>
                                </a:solidFill>
                                <a:latin typeface="Tahoma" pitchFamily="34" charset="0"/>
                                <a:cs typeface="Tahoma" pitchFamily="34" charset="0"/>
                              </a:rPr>
                              <a:t>stand uninterrupted by non-reference tests</a:t>
                            </a:r>
                            <a:endParaRPr lang="en-US" sz="900" dirty="0">
                              <a:solidFill>
                                <a:srgbClr val="000000"/>
                              </a:solidFill>
                              <a:latin typeface="Tahoma" pitchFamily="34" charset="0"/>
                              <a:cs typeface="Tahoma" pitchFamily="34" charset="0"/>
                            </a:endParaRPr>
                          </a:p>
                        </a:txBody>
                        <a:useSpRect/>
                      </a:txSp>
                    </a:sp>
                    <a:sp>
                      <a:nvSpPr>
                        <a:cNvPr id="2052" name="Text Box 21"/>
                        <a:cNvSpPr txBox="1">
                          <a:spLocks noChangeArrowheads="1"/>
                        </a:cNvSpPr>
                      </a:nvSpPr>
                      <a:spPr bwMode="auto">
                        <a:xfrm>
                          <a:off x="2895600" y="332096"/>
                          <a:ext cx="4724400" cy="457200"/>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Flowchart: </a:t>
                            </a:r>
                            <a:r>
                              <a:rPr lang="en-US" b="1" dirty="0" smtClean="0">
                                <a:solidFill>
                                  <a:srgbClr val="000000"/>
                                </a:solidFill>
                                <a:latin typeface="Tahoma" pitchFamily="34" charset="0"/>
                                <a:cs typeface="Tahoma" pitchFamily="34" charset="0"/>
                              </a:rPr>
                              <a:t>Calibration</a:t>
                            </a:r>
                            <a:endParaRPr lang="en-US" b="1" dirty="0">
                              <a:solidFill>
                                <a:srgbClr val="000000"/>
                              </a:solidFill>
                              <a:latin typeface="Tahoma" pitchFamily="34" charset="0"/>
                              <a:cs typeface="Tahoma" pitchFamily="34" charset="0"/>
                            </a:endParaRPr>
                          </a:p>
                        </a:txBody>
                        <a:useSpRect/>
                      </a:txSp>
                    </a:sp>
                    <a:sp>
                      <a:nvSpPr>
                        <a:cNvPr id="44" name="Flowchart: Decision 43"/>
                        <a:cNvSpPr/>
                      </a:nvSpPr>
                      <a:spPr>
                        <a:xfrm>
                          <a:off x="8382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Lab based severity adjustment system?</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5" name="Text Box 28"/>
                        <a:cNvSpPr txBox="1">
                          <a:spLocks noChangeArrowheads="1"/>
                        </a:cNvSpPr>
                      </a:nvSpPr>
                      <a:spPr bwMode="auto">
                        <a:xfrm>
                          <a:off x="11430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6" name="Text Box 28"/>
                        <a:cNvSpPr txBox="1">
                          <a:spLocks noChangeArrowheads="1"/>
                        </a:cNvSpPr>
                      </a:nvSpPr>
                      <a:spPr bwMode="auto">
                        <a:xfrm>
                          <a:off x="22860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2057" name="Text Box 28"/>
                        <a:cNvSpPr txBox="1">
                          <a:spLocks noChangeArrowheads="1"/>
                        </a:cNvSpPr>
                      </a:nvSpPr>
                      <a:spPr bwMode="auto">
                        <a:xfrm>
                          <a:off x="11430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68" name="Flowchart: Decision 67"/>
                        <a:cNvSpPr/>
                      </a:nvSpPr>
                      <a:spPr>
                        <a:xfrm>
                          <a:off x="838200" y="2819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rPr>
                              <a:t>Is the test lab calibrated (existing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9" name="Text Box 28"/>
                        <a:cNvSpPr txBox="1">
                          <a:spLocks noChangeArrowheads="1"/>
                        </a:cNvSpPr>
                      </a:nvSpPr>
                      <a:spPr bwMode="auto">
                        <a:xfrm>
                          <a:off x="1143000" y="541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81" name="Straight Arrow Connector 80"/>
                        <a:cNvCxnSpPr>
                          <a:cxnSpLocks noChangeShapeType="1"/>
                          <a:stCxn id="44" idx="2"/>
                          <a:endCxn id="68" idx="0"/>
                        </a:cNvCxnSpPr>
                      </a:nvCxnSpPr>
                      <a:spPr bwMode="auto">
                        <a:xfrm rot="5400000">
                          <a:off x="1485900" y="2705100"/>
                          <a:ext cx="228600" cy="1588"/>
                        </a:xfrm>
                        <a:prstGeom prst="straightConnector1">
                          <a:avLst/>
                        </a:prstGeom>
                        <a:noFill/>
                        <a:ln w="9525" algn="ctr">
                          <a:solidFill>
                            <a:srgbClr val="4A7EBB"/>
                          </a:solidFill>
                          <a:round/>
                          <a:headEnd/>
                          <a:tailEnd type="arrow" w="med" len="med"/>
                        </a:ln>
                      </a:spPr>
                    </a:cxnSp>
                    <a:sp>
                      <a:nvSpPr>
                        <a:cNvPr id="103" name="Flowchart: Decision 102"/>
                        <a:cNvSpPr/>
                      </a:nvSpPr>
                      <a:spPr>
                        <a:xfrm>
                          <a:off x="838200" y="42672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a:solidFill>
                                  <a:schemeClr val="tx1"/>
                                </a:solidFill>
                                <a:latin typeface="Tahoma" pitchFamily="34" charset="0"/>
                                <a:cs typeface="Tahoma" pitchFamily="34" charset="0"/>
                              </a:rPr>
                              <a:t>Is this a new stand in a lab?</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64" name="Text Box 28"/>
                        <a:cNvSpPr txBox="1">
                          <a:spLocks noChangeArrowheads="1"/>
                        </a:cNvSpPr>
                      </a:nvSpPr>
                      <a:spPr bwMode="auto">
                        <a:xfrm>
                          <a:off x="6172200" y="4572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cxnSp>
                      <a:nvCxnSpPr>
                        <a:cNvPr id="110" name="Straight Arrow Connector 109"/>
                        <a:cNvCxnSpPr>
                          <a:cxnSpLocks noChangeShapeType="1"/>
                          <a:stCxn id="68" idx="2"/>
                          <a:endCxn id="103" idx="0"/>
                        </a:cNvCxnSpPr>
                      </a:nvCxnSpPr>
                      <a:spPr bwMode="auto">
                        <a:xfrm rot="5400000">
                          <a:off x="1524000" y="4191000"/>
                          <a:ext cx="152400" cy="1588"/>
                        </a:xfrm>
                        <a:prstGeom prst="straightConnector1">
                          <a:avLst/>
                        </a:prstGeom>
                        <a:noFill/>
                        <a:ln w="9525" algn="ctr">
                          <a:solidFill>
                            <a:srgbClr val="4A7EBB"/>
                          </a:solidFill>
                          <a:round/>
                          <a:headEnd/>
                          <a:tailEnd type="arrow" w="med" len="med"/>
                        </a:ln>
                      </a:spPr>
                    </a:cxnSp>
                    <a:sp>
                      <a:nvSpPr>
                        <a:cNvPr id="2067" name="Text Box 28"/>
                        <a:cNvSpPr txBox="1">
                          <a:spLocks noChangeArrowheads="1"/>
                        </a:cNvSpPr>
                      </a:nvSpPr>
                      <a:spPr bwMode="auto">
                        <a:xfrm>
                          <a:off x="2362200" y="3124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68" name="Text Box 28"/>
                        <a:cNvSpPr txBox="1">
                          <a:spLocks noChangeArrowheads="1"/>
                        </a:cNvSpPr>
                      </a:nvSpPr>
                      <a:spPr bwMode="auto">
                        <a:xfrm>
                          <a:off x="4648200" y="2514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cxnSp>
                      <a:nvCxnSpPr>
                        <a:cNvPr id="35" name="Straight Arrow Connector 34"/>
                        <a:cNvCxnSpPr>
                          <a:cxnSpLocks noChangeShapeType="1"/>
                        </a:cNvCxnSpPr>
                      </a:nvCxnSpPr>
                      <a:spPr bwMode="auto">
                        <a:xfrm>
                          <a:off x="5257800" y="5575300"/>
                          <a:ext cx="0" cy="292100"/>
                        </a:xfrm>
                        <a:prstGeom prst="straightConnector1">
                          <a:avLst/>
                        </a:prstGeom>
                        <a:noFill/>
                        <a:ln w="9525" algn="ctr">
                          <a:solidFill>
                            <a:srgbClr val="4A7EBB"/>
                          </a:solidFill>
                          <a:round/>
                          <a:headEnd/>
                          <a:tailEnd type="arrow" w="med" len="med"/>
                        </a:ln>
                      </a:spPr>
                    </a:cxnSp>
                    <a:sp>
                      <a:nvSpPr>
                        <a:cNvPr id="2080" name="Text Box 28"/>
                        <a:cNvSpPr txBox="1">
                          <a:spLocks noChangeArrowheads="1"/>
                        </a:cNvSpPr>
                      </a:nvSpPr>
                      <a:spPr bwMode="auto">
                        <a:xfrm>
                          <a:off x="58674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4" name="Text Box 28"/>
                        <a:cNvSpPr txBox="1">
                          <a:spLocks noChangeArrowheads="1"/>
                        </a:cNvSpPr>
                      </a:nvSpPr>
                      <a:spPr bwMode="auto">
                        <a:xfrm>
                          <a:off x="5334000" y="56388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2095" name="Text Box 28"/>
                        <a:cNvSpPr txBox="1">
                          <a:spLocks noChangeArrowheads="1"/>
                        </a:cNvSpPr>
                      </a:nvSpPr>
                      <a:spPr bwMode="auto">
                        <a:xfrm>
                          <a:off x="2362200" y="1676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2096" name="AutoShape 4"/>
                        <a:cNvSpPr>
                          <a:spLocks noChangeArrowheads="1"/>
                        </a:cNvSpPr>
                      </a:nvSpPr>
                      <a:spPr bwMode="auto">
                        <a:xfrm>
                          <a:off x="61722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Set Z</a:t>
                            </a:r>
                            <a:r>
                              <a:rPr lang="en-US" sz="900" baseline="-25000" dirty="0">
                                <a:solidFill>
                                  <a:srgbClr val="000000"/>
                                </a:solidFill>
                                <a:latin typeface="Tahoma" pitchFamily="34" charset="0"/>
                                <a:cs typeface="Tahoma" pitchFamily="34" charset="0"/>
                              </a:rPr>
                              <a:t>0</a:t>
                            </a:r>
                            <a:r>
                              <a:rPr lang="en-US" sz="900" dirty="0">
                                <a:solidFill>
                                  <a:srgbClr val="000000"/>
                                </a:solidFill>
                                <a:latin typeface="Tahoma" pitchFamily="34" charset="0"/>
                                <a:cs typeface="Tahoma" pitchFamily="34" charset="0"/>
                              </a:rPr>
                              <a:t> = Average of first 3 test </a:t>
                            </a:r>
                            <a:r>
                              <a:rPr lang="en-US" sz="900" dirty="0" smtClean="0">
                                <a:solidFill>
                                  <a:srgbClr val="000000"/>
                                </a:solidFill>
                                <a:latin typeface="Tahoma" pitchFamily="34" charset="0"/>
                                <a:cs typeface="Tahoma" pitchFamily="34" charset="0"/>
                              </a:rPr>
                              <a:t>results in the reference entity</a:t>
                            </a:r>
                            <a:endParaRPr lang="en-US" sz="900" dirty="0">
                              <a:solidFill>
                                <a:srgbClr val="000000"/>
                              </a:solidFill>
                              <a:latin typeface="Tahoma" pitchFamily="34" charset="0"/>
                              <a:cs typeface="Tahoma" pitchFamily="34" charset="0"/>
                            </a:endParaRPr>
                          </a:p>
                        </a:txBody>
                        <a:useSpRect/>
                      </a:txSp>
                    </a:sp>
                    <a:sp>
                      <a:nvSpPr>
                        <a:cNvPr id="2" name="Flowchart: Decision 102"/>
                        <a:cNvSpPr/>
                      </a:nvSpPr>
                      <a:spPr>
                        <a:xfrm>
                          <a:off x="4235301" y="4091765"/>
                          <a:ext cx="2057400" cy="163327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reference test exceed </a:t>
                            </a:r>
                            <a:r>
                              <a:rPr lang="en-US" sz="900" dirty="0" smtClean="0">
                                <a:solidFill>
                                  <a:schemeClr val="tx1"/>
                                </a:solidFill>
                                <a:latin typeface="Tahoma" pitchFamily="34" charset="0"/>
                                <a:cs typeface="Tahoma" pitchFamily="34" charset="0"/>
                              </a:rPr>
                              <a:t>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1 limit </a:t>
                            </a:r>
                            <a:r>
                              <a:rPr lang="en-US" sz="900" dirty="0" smtClean="0">
                                <a:solidFill>
                                  <a:schemeClr val="tx1"/>
                                </a:solidFill>
                                <a:latin typeface="Tahoma" pitchFamily="34" charset="0"/>
                                <a:cs typeface="Tahoma" pitchFamily="34" charset="0"/>
                              </a:rPr>
                              <a:t>for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a:t>
                            </a:r>
                            <a:r>
                              <a:rPr lang="en-US" sz="900" dirty="0" smtClean="0">
                                <a:solidFill>
                                  <a:schemeClr val="tx1"/>
                                </a:solidFill>
                                <a:latin typeface="Tahoma" pitchFamily="34" charset="0"/>
                                <a:cs typeface="Tahoma" pitchFamily="34" charset="0"/>
                              </a:rPr>
                              <a: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1" name="AutoShape 4"/>
                        <a:cNvSpPr>
                          <a:spLocks noChangeArrowheads="1"/>
                        </a:cNvSpPr>
                      </a:nvSpPr>
                      <a:spPr bwMode="auto">
                        <a:xfrm>
                          <a:off x="2819400" y="3124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This is the first test stand in the lab</a:t>
                            </a:r>
                          </a:p>
                        </a:txBody>
                        <a:useSpRect/>
                      </a:txSp>
                    </a:sp>
                    <a:sp>
                      <a:nvSpPr>
                        <a:cNvPr id="2102" name="AutoShape 4"/>
                        <a:cNvSpPr>
                          <a:spLocks noChangeArrowheads="1"/>
                        </a:cNvSpPr>
                      </a:nvSpPr>
                      <a:spPr bwMode="auto">
                        <a:xfrm>
                          <a:off x="2819400" y="1600200"/>
                          <a:ext cx="1000125" cy="6858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This is a </a:t>
                            </a:r>
                            <a:r>
                              <a:rPr lang="en-US" sz="900" dirty="0" smtClean="0">
                                <a:solidFill>
                                  <a:srgbClr val="000000"/>
                                </a:solidFill>
                                <a:latin typeface="Tahoma" pitchFamily="34" charset="0"/>
                                <a:cs typeface="Tahoma" pitchFamily="34" charset="0"/>
                              </a:rPr>
                              <a:t>stand </a:t>
                            </a:r>
                            <a:r>
                              <a:rPr lang="en-US" sz="900" dirty="0">
                                <a:solidFill>
                                  <a:srgbClr val="000000"/>
                                </a:solidFill>
                                <a:latin typeface="Tahoma" pitchFamily="34" charset="0"/>
                                <a:cs typeface="Tahoma" pitchFamily="34" charset="0"/>
                              </a:rPr>
                              <a:t>based severity adjustment system</a:t>
                            </a:r>
                          </a:p>
                        </a:txBody>
                        <a:useSpRect/>
                      </a:txSp>
                    </a:sp>
                    <a:sp>
                      <a:nvSpPr>
                        <a:cNvPr id="4" name="Flowchart: Decision 43"/>
                        <a:cNvSpPr/>
                      </a:nvSpPr>
                      <a:spPr>
                        <a:xfrm>
                          <a:off x="4343400" y="1295400"/>
                          <a:ext cx="1524000" cy="1295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rPr>
                              <a:t>Is this a new </a:t>
                            </a:r>
                            <a:r>
                              <a:rPr lang="en-US" sz="900" dirty="0" smtClean="0">
                                <a:solidFill>
                                  <a:schemeClr val="tx1"/>
                                </a:solidFill>
                                <a:latin typeface="Tahoma" pitchFamily="34" charset="0"/>
                              </a:rPr>
                              <a:t>stand?</a:t>
                            </a:r>
                            <a:endParaRPr lang="en-US" sz="900" dirty="0">
                              <a:solidFill>
                                <a:schemeClr val="tx1"/>
                              </a:solidFill>
                              <a:latin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105" name="AutoShape 5"/>
                        <a:cNvSpPr>
                          <a:spLocks noChangeArrowheads="1"/>
                        </a:cNvSpPr>
                      </a:nvSpPr>
                      <a:spPr bwMode="auto">
                        <a:xfrm>
                          <a:off x="2819400" y="4680371"/>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2107" name="AutoShape 5"/>
                        <a:cNvSpPr>
                          <a:spLocks noChangeArrowheads="1"/>
                        </a:cNvSpPr>
                      </a:nvSpPr>
                      <a:spPr bwMode="auto">
                        <a:xfrm>
                          <a:off x="4800600" y="5867400"/>
                          <a:ext cx="990600" cy="466725"/>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a:solidFill>
                                  <a:srgbClr val="000000"/>
                                </a:solidFill>
                                <a:latin typeface="Tahoma" pitchFamily="34" charset="0"/>
                                <a:cs typeface="Tahoma" pitchFamily="34" charset="0"/>
                              </a:rPr>
                              <a:t>Run one reference test</a:t>
                            </a:r>
                          </a:p>
                        </a:txBody>
                        <a:useSpRect/>
                      </a:txSp>
                    </a:sp>
                    <a:sp>
                      <a:nvSpPr>
                        <a:cNvPr id="51" name="Flowchart: Off-page Connector 50"/>
                        <a:cNvSpPr/>
                      </a:nvSpPr>
                      <a:spPr>
                        <a:xfrm>
                          <a:off x="1981200" y="381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A</a:t>
                            </a:r>
                            <a:endParaRPr lang="en-US" sz="1400" dirty="0"/>
                          </a:p>
                        </a:txBody>
                        <a:useSpRect/>
                      </a:txSp>
                      <a:style>
                        <a:lnRef idx="1">
                          <a:schemeClr val="accent3"/>
                        </a:lnRef>
                        <a:fillRef idx="2">
                          <a:schemeClr val="accent3"/>
                        </a:fillRef>
                        <a:effectRef idx="1">
                          <a:schemeClr val="accent3"/>
                        </a:effectRef>
                        <a:fontRef idx="minor">
                          <a:schemeClr val="dk1"/>
                        </a:fontRef>
                      </a:style>
                    </a:sp>
                    <a:sp>
                      <a:nvSpPr>
                        <a:cNvPr id="52" name="Flowchart: Off-page Connector 51"/>
                        <a:cNvSpPr/>
                      </a:nvSpPr>
                      <a:spPr>
                        <a:xfrm>
                          <a:off x="6400800" y="1676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3" name="Flowchart: Off-page Connector 52"/>
                        <a:cNvSpPr/>
                      </a:nvSpPr>
                      <a:spPr>
                        <a:xfrm>
                          <a:off x="1257300" y="57912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Status</a:t>
                            </a:r>
                          </a:p>
                          <a:p>
                            <a:pPr algn="ctr"/>
                            <a:r>
                              <a:rPr lang="en-US" sz="1400" dirty="0" smtClean="0"/>
                              <a:t>E</a:t>
                            </a:r>
                          </a:p>
                        </a:txBody>
                        <a:useSpRect/>
                      </a:txSp>
                      <a:style>
                        <a:lnRef idx="1">
                          <a:schemeClr val="accent3"/>
                        </a:lnRef>
                        <a:fillRef idx="2">
                          <a:schemeClr val="accent3"/>
                        </a:fillRef>
                        <a:effectRef idx="1">
                          <a:schemeClr val="accent3"/>
                        </a:effectRef>
                        <a:fontRef idx="minor">
                          <a:schemeClr val="dk1"/>
                        </a:fontRef>
                      </a:style>
                    </a:sp>
                    <a:sp>
                      <a:nvSpPr>
                        <a:cNvPr id="55" name="Flowchart: Off-page Connector 54"/>
                        <a:cNvSpPr/>
                      </a:nvSpPr>
                      <a:spPr>
                        <a:xfrm>
                          <a:off x="5715000" y="2455652"/>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C</a:t>
                            </a:r>
                          </a:p>
                        </a:txBody>
                        <a:useSpRect/>
                      </a:txSp>
                      <a:style>
                        <a:lnRef idx="1">
                          <a:schemeClr val="accent3"/>
                        </a:lnRef>
                        <a:fillRef idx="2">
                          <a:schemeClr val="accent3"/>
                        </a:fillRef>
                        <a:effectRef idx="1">
                          <a:schemeClr val="accent3"/>
                        </a:effectRef>
                        <a:fontRef idx="minor">
                          <a:schemeClr val="dk1"/>
                        </a:fontRef>
                      </a:style>
                    </a:sp>
                    <a:sp>
                      <a:nvSpPr>
                        <a:cNvPr id="61" name="Flowchart: Off-page Connector 60"/>
                        <a:cNvSpPr/>
                      </a:nvSpPr>
                      <a:spPr>
                        <a:xfrm>
                          <a:off x="2971800" y="3955208"/>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B</a:t>
                            </a:r>
                          </a:p>
                        </a:txBody>
                        <a:useSpRect/>
                      </a:txSp>
                      <a:style>
                        <a:lnRef idx="1">
                          <a:schemeClr val="accent3"/>
                        </a:lnRef>
                        <a:fillRef idx="2">
                          <a:schemeClr val="accent3"/>
                        </a:fillRef>
                        <a:effectRef idx="1">
                          <a:schemeClr val="accent3"/>
                        </a:effectRef>
                        <a:fontRef idx="minor">
                          <a:schemeClr val="dk1"/>
                        </a:fontRef>
                      </a:style>
                    </a:sp>
                    <a:cxnSp>
                      <a:nvCxnSpPr>
                        <a:cNvPr id="63" name="Straight Arrow Connector 62"/>
                        <a:cNvCxnSpPr>
                          <a:stCxn id="61" idx="2"/>
                          <a:endCxn id="2105" idx="0"/>
                        </a:cNvCxnSpPr>
                      </a:nvCxnSpPr>
                      <a:spPr>
                        <a:xfrm rot="5400000">
                          <a:off x="3218819" y="4584489"/>
                          <a:ext cx="191763"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5" name="Flowchart: Off-page Connector 64"/>
                        <a:cNvSpPr/>
                      </a:nvSpPr>
                      <a:spPr>
                        <a:xfrm>
                          <a:off x="7772400" y="32004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err="1" smtClean="0"/>
                              <a:t>e</a:t>
                            </a:r>
                            <a:r>
                              <a:rPr lang="en-US" sz="1400" baseline="-25000" dirty="0" err="1" smtClean="0"/>
                              <a:t>i</a:t>
                            </a:r>
                            <a:endParaRPr lang="en-US" sz="1400" baseline="-25000" dirty="0" smtClean="0"/>
                          </a:p>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782" name="Flowchart: Off-page Connector 781"/>
                        <a:cNvSpPr/>
                      </a:nvSpPr>
                      <a:spPr>
                        <a:xfrm>
                          <a:off x="3429000" y="583433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D</a:t>
                            </a:r>
                          </a:p>
                        </a:txBody>
                        <a:useSpRect/>
                      </a:txSp>
                      <a:style>
                        <a:lnRef idx="1">
                          <a:schemeClr val="accent3"/>
                        </a:lnRef>
                        <a:fillRef idx="2">
                          <a:schemeClr val="accent3"/>
                        </a:fillRef>
                        <a:effectRef idx="1">
                          <a:schemeClr val="accent3"/>
                        </a:effectRef>
                        <a:fontRef idx="minor">
                          <a:schemeClr val="dk1"/>
                        </a:fontRef>
                      </a:style>
                    </a:sp>
                    <a:sp>
                      <a:nvSpPr>
                        <a:cNvPr id="58" name="Flowchart: Terminator 57"/>
                        <a:cNvSpPr/>
                      </a:nvSpPr>
                      <a:spPr>
                        <a:xfrm>
                          <a:off x="457200" y="457200"/>
                          <a:ext cx="1143000" cy="381000"/>
                        </a:xfrm>
                        <a:prstGeom prst="flowChartTermina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Reference Test </a:t>
                            </a:r>
                            <a:endParaRPr lang="en-US" sz="1400" dirty="0"/>
                          </a:p>
                        </a:txBody>
                        <a:useSpRect/>
                      </a:txSp>
                      <a:style>
                        <a:lnRef idx="1">
                          <a:schemeClr val="accent3"/>
                        </a:lnRef>
                        <a:fillRef idx="2">
                          <a:schemeClr val="accent3"/>
                        </a:fillRef>
                        <a:effectRef idx="1">
                          <a:schemeClr val="accent3"/>
                        </a:effectRef>
                        <a:fontRef idx="minor">
                          <a:schemeClr val="dk1"/>
                        </a:fontRef>
                      </a:style>
                    </a:sp>
                    <a:cxnSp>
                      <a:nvCxnSpPr>
                        <a:cNvPr id="62" name="Straight Arrow Connector 61"/>
                        <a:cNvCxnSpPr>
                          <a:stCxn id="44" idx="3"/>
                          <a:endCxn id="2102" idx="1"/>
                        </a:cNvCxnSpPr>
                      </a:nvCxnSpPr>
                      <a:spPr>
                        <a:xfrm>
                          <a:off x="2362200" y="1943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stCxn id="68" idx="3"/>
                          <a:endCxn id="2101" idx="1"/>
                        </a:cNvCxnSpPr>
                      </a:nvCxnSpPr>
                      <a:spPr>
                        <a:xfrm>
                          <a:off x="2362200" y="3467100"/>
                          <a:ext cx="457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2" name="Straight Arrow Connector 71"/>
                        <a:cNvCxnSpPr>
                          <a:stCxn id="2101" idx="3"/>
                          <a:endCxn id="2050" idx="1"/>
                        </a:cNvCxnSpPr>
                      </a:nvCxnSpPr>
                      <a:spPr>
                        <a:xfrm>
                          <a:off x="3819525" y="3467100"/>
                          <a:ext cx="7524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4" name="Straight Arrow Connector 73"/>
                        <a:cNvCxnSpPr>
                          <a:stCxn id="2050" idx="3"/>
                          <a:endCxn id="2096" idx="1"/>
                        </a:cNvCxnSpPr>
                      </a:nvCxnSpPr>
                      <a:spPr>
                        <a:xfrm flipV="1">
                          <a:off x="5648325" y="3467100"/>
                          <a:ext cx="523875" cy="359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6" name="Straight Arrow Connector 75"/>
                        <a:cNvCxnSpPr>
                          <a:stCxn id="2102" idx="3"/>
                          <a:endCxn id="4" idx="1"/>
                        </a:cNvCxnSpPr>
                      </a:nvCxnSpPr>
                      <a:spPr>
                        <a:xfrm>
                          <a:off x="3819525" y="1943100"/>
                          <a:ext cx="5238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9" name="Straight Arrow Connector 78"/>
                        <a:cNvCxnSpPr>
                          <a:stCxn id="4" idx="3"/>
                          <a:endCxn id="52" idx="1"/>
                        </a:cNvCxnSpPr>
                      </a:nvCxnSpPr>
                      <a:spPr>
                        <a:xfrm>
                          <a:off x="5867400" y="1943100"/>
                          <a:ext cx="533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2" name="Straight Arrow Connector 81"/>
                        <a:cNvCxnSpPr>
                          <a:stCxn id="103" idx="2"/>
                          <a:endCxn id="53" idx="0"/>
                        </a:cNvCxnSpPr>
                      </a:nvCxnSpPr>
                      <a:spPr>
                        <a:xfrm rot="5400000">
                          <a:off x="1485900" y="5676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103" idx="3"/>
                          <a:endCxn id="2105" idx="1"/>
                        </a:cNvCxnSpPr>
                      </a:nvCxnSpPr>
                      <a:spPr>
                        <a:xfrm flipV="1">
                          <a:off x="2362200" y="4913734"/>
                          <a:ext cx="457200" cy="116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6" name="Straight Arrow Connector 85"/>
                        <a:cNvCxnSpPr>
                          <a:stCxn id="2105" idx="3"/>
                          <a:endCxn id="2" idx="1"/>
                        </a:cNvCxnSpPr>
                      </a:nvCxnSpPr>
                      <a:spPr>
                        <a:xfrm flipV="1">
                          <a:off x="3810000" y="4908400"/>
                          <a:ext cx="425301" cy="5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2" name="Shape 91"/>
                        <a:cNvCxnSpPr>
                          <a:stCxn id="2107" idx="3"/>
                          <a:endCxn id="65" idx="2"/>
                        </a:cNvCxnSpPr>
                      </a:nvCxnSpPr>
                      <a:spPr>
                        <a:xfrm flipV="1">
                          <a:off x="5791200" y="3733800"/>
                          <a:ext cx="2324100" cy="2366963"/>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0" name="Straight Arrow Connector 99"/>
                        <a:cNvCxnSpPr>
                          <a:stCxn id="782" idx="3"/>
                          <a:endCxn id="2107" idx="1"/>
                        </a:cNvCxnSpPr>
                      </a:nvCxnSpPr>
                      <a:spPr>
                        <a:xfrm flipV="1">
                          <a:off x="4114800" y="6100763"/>
                          <a:ext cx="685800" cy="26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stCxn id="4" idx="2"/>
                          <a:endCxn id="2050" idx="0"/>
                        </a:cNvCxnSpPr>
                      </a:nvCxnSpPr>
                      <a:spPr>
                        <a:xfrm rot="16200000" flipH="1">
                          <a:off x="4866959" y="2829240"/>
                          <a:ext cx="48164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7" name="Elbow Connector 126"/>
                        <a:cNvCxnSpPr>
                          <a:stCxn id="58" idx="2"/>
                          <a:endCxn id="44" idx="0"/>
                        </a:cNvCxnSpPr>
                      </a:nvCxnSpPr>
                      <a:spPr>
                        <a:xfrm rot="16200000" flipH="1">
                          <a:off x="1085850" y="781050"/>
                          <a:ext cx="457200" cy="5715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1" name="Straight Arrow Connector 130"/>
                        <a:cNvCxnSpPr>
                          <a:stCxn id="2096" idx="3"/>
                          <a:endCxn id="65" idx="1"/>
                        </a:cNvCxnSpPr>
                      </a:nvCxnSpPr>
                      <a:spPr>
                        <a:xfrm>
                          <a:off x="7172325" y="3467100"/>
                          <a:ext cx="6000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Elbow Connector 69"/>
                        <a:cNvCxnSpPr/>
                      </a:nvCxnSpPr>
                      <a:spPr>
                        <a:xfrm rot="5400000">
                          <a:off x="1771650" y="715654"/>
                          <a:ext cx="381000" cy="7239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sp>
                      <a:nvSpPr>
                        <a:cNvPr id="75" name="Flowchart: Process 74"/>
                        <a:cNvSpPr/>
                      </a:nvSpPr>
                      <a:spPr>
                        <a:xfrm>
                          <a:off x="7086600" y="459929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4" name="Flowchart: Process 93"/>
                        <a:cNvSpPr/>
                      </a:nvSpPr>
                      <a:spPr>
                        <a:xfrm>
                          <a:off x="6934200" y="4607256"/>
                          <a:ext cx="914400" cy="612648"/>
                        </a:xfrm>
                        <a:prstGeom prst="flowChartProcess">
                          <a:avLst/>
                        </a:prstGeom>
                        <a:noFill/>
                        <a:ln>
                          <a:noFill/>
                        </a:ln>
                      </a:spPr>
                      <a:txSp>
                        <a:txBody>
                          <a:bodyPr rtlCol="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6" name="Straight Arrow Connector 95"/>
                        <a:cNvCxnSpPr>
                          <a:stCxn id="2" idx="3"/>
                          <a:endCxn id="94" idx="1"/>
                        </a:cNvCxnSpPr>
                      </a:nvCxnSpPr>
                      <a:spPr>
                        <a:xfrm>
                          <a:off x="6292701" y="4908400"/>
                          <a:ext cx="641499" cy="518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9" name="Shape 98"/>
                        <a:cNvCxnSpPr>
                          <a:stCxn id="94" idx="3"/>
                          <a:endCxn id="65" idx="2"/>
                        </a:cNvCxnSpPr>
                      </a:nvCxnSpPr>
                      <a:spPr>
                        <a:xfrm flipV="1">
                          <a:off x="7848600" y="3733800"/>
                          <a:ext cx="266700" cy="117978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2" name="Straight Connector 101"/>
                        <a:cNvCxnSpPr>
                          <a:stCxn id="94" idx="1"/>
                          <a:endCxn id="94" idx="3"/>
                        </a:cNvCxnSpPr>
                      </a:nvCxnSpPr>
                      <a:spPr>
                        <a:xfrm rot="10800000" flipH="1">
                          <a:off x="6934200" y="491358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stCxn id="55" idx="1"/>
                        </a:cNvCxnSpPr>
                      </a:nvCxnSpPr>
                      <a:spPr>
                        <a:xfrm rot="10800000" flipV="1">
                          <a:off x="5108812" y="2722352"/>
                          <a:ext cx="606188" cy="7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8F2791">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151914" cy="5910943"/>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55305" w:rsidRDefault="00765E50">
      <w:pPr>
        <w:jc w:val="center"/>
        <w:rPr>
          <w:rFonts w:ascii="Microsoft Sans Serif" w:hAnsi="Microsoft Sans Serif" w:cs="Microsoft Sans Serif"/>
          <w:sz w:val="24"/>
          <w:szCs w:val="24"/>
        </w:rPr>
      </w:pPr>
      <w:r>
        <w:rPr>
          <w:noProof/>
        </w:rPr>
        <w:lastRenderedPageBreak/>
        <w:drawing>
          <wp:inline distT="0" distB="0" distL="0" distR="0">
            <wp:extent cx="8115300" cy="63627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srcRect/>
                    <a:stretch>
                      <a:fillRect/>
                    </a:stretch>
                  </pic:blipFill>
                  <pic:spPr bwMode="auto">
                    <a:xfrm>
                      <a:off x="0" y="0"/>
                      <a:ext cx="8115300" cy="6362700"/>
                    </a:xfrm>
                    <a:prstGeom prst="rect">
                      <a:avLst/>
                    </a:prstGeom>
                    <a:noFill/>
                    <a:ln w="9525">
                      <a:noFill/>
                      <a:miter lim="800000"/>
                      <a:headEnd/>
                      <a:tailEnd/>
                    </a:ln>
                  </pic:spPr>
                </pic:pic>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4"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791" w:rsidRDefault="008F2791">
      <w:r>
        <w:separator/>
      </w:r>
    </w:p>
  </w:endnote>
  <w:endnote w:type="continuationSeparator" w:id="0">
    <w:p w:rsidR="008F2791" w:rsidRDefault="008F2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712E1C">
    <w:pPr>
      <w:pStyle w:val="Footer"/>
      <w:jc w:val="center"/>
    </w:pPr>
    <w:fldSimple w:instr=" PAGE   \* MERGEFORMAT ">
      <w:r w:rsidR="00193CBC">
        <w:rPr>
          <w:noProof/>
        </w:rPr>
        <w:t>10</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791" w:rsidRDefault="008F2791">
      <w:r>
        <w:separator/>
      </w:r>
    </w:p>
  </w:footnote>
  <w:footnote w:type="continuationSeparator" w:id="0">
    <w:p w:rsidR="008F2791" w:rsidRDefault="008F2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fillcolor="window">
        <v:imagedata r:id="rId1" o:title=""/>
      </v:shape>
    </w:pict>
  </w:numPicBullet>
  <w:numPicBullet w:numPicBulletId="1">
    <w:pict>
      <v:shape id="_x0000_i1089" type="#_x0000_t75" style="width:11.5pt;height:11.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2530"/>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841FA"/>
    <w:rsid w:val="00090D49"/>
    <w:rsid w:val="00092C98"/>
    <w:rsid w:val="00093494"/>
    <w:rsid w:val="00094A1A"/>
    <w:rsid w:val="00096ED6"/>
    <w:rsid w:val="000A1B66"/>
    <w:rsid w:val="000A5EEE"/>
    <w:rsid w:val="000A6D19"/>
    <w:rsid w:val="000A7252"/>
    <w:rsid w:val="000B0730"/>
    <w:rsid w:val="000B50CA"/>
    <w:rsid w:val="000B5BF3"/>
    <w:rsid w:val="000B5F90"/>
    <w:rsid w:val="000B6A27"/>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3CBC"/>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07EFA"/>
    <w:rsid w:val="002239BB"/>
    <w:rsid w:val="00225662"/>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182F"/>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01E66"/>
    <w:rsid w:val="0071035A"/>
    <w:rsid w:val="007104FD"/>
    <w:rsid w:val="0071159B"/>
    <w:rsid w:val="00712E1C"/>
    <w:rsid w:val="00713766"/>
    <w:rsid w:val="00715296"/>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79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FDC"/>
    <w:rsid w:val="00967623"/>
    <w:rsid w:val="009704D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AB3"/>
    <w:rsid w:val="00B42E36"/>
    <w:rsid w:val="00B45BA8"/>
    <w:rsid w:val="00B4640E"/>
    <w:rsid w:val="00B467E2"/>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rules v:ext="edit">
        <o:r id="V:Rule7" type="connector" idref="#_x0000_s1045">
          <o:proxy start="" idref="#_x0000_s1039" connectloc="2"/>
          <o:proxy end="" idref="#_x0000_s1041" connectloc="0"/>
        </o:r>
        <o:r id="V:Rule8" type="connector" idref="#_x0000_s1052">
          <o:proxy start="" idref="#_x0000_s1042" connectloc="2"/>
          <o:proxy end="" idref="#_x0000_s1050" connectloc="0"/>
        </o:r>
        <o:r id="V:Rule9" type="connector" idref="#_x0000_s1054">
          <o:proxy start="" idref="#_x0000_s1041" connectloc="3"/>
          <o:proxy end="" idref="#_x0000_s1053" connectloc="1"/>
        </o:r>
        <o:r id="V:Rule10" type="connector" idref="#_x0000_s1047">
          <o:proxy start="" idref="#_x0000_s1039" connectloc="3"/>
          <o:proxy end="" idref="#_x0000_s1046" connectloc="1"/>
        </o:r>
        <o:r id="V:Rule11" type="connector" idref="#_x0000_s1051">
          <o:proxy start="" idref="#_x0000_s1038" connectloc="2"/>
          <o:proxy end="" idref="#_x0000_s1039" connectloc="0"/>
        </o:r>
        <o:r id="V:Rule12" type="connector" idref="#_x0000_s1049">
          <o:proxy start="" idref="#_x0000_s1041" connectloc="2"/>
          <o:proxy end="" idref="#_x0000_s1042"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45F9-D966-4905-B1EC-E8706C3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28764</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3</cp:revision>
  <cp:lastPrinted>2010-04-30T14:20:00Z</cp:lastPrinted>
  <dcterms:created xsi:type="dcterms:W3CDTF">2010-09-21T01:17:00Z</dcterms:created>
  <dcterms:modified xsi:type="dcterms:W3CDTF">2010-09-21T01:37:00Z</dcterms:modified>
</cp:coreProperties>
</file>